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3DD635" w14:textId="6177A6E7" w:rsidR="00624C81" w:rsidRPr="00E04C60" w:rsidRDefault="00E04C60">
      <w:pPr>
        <w:pBdr>
          <w:top w:val="nil"/>
          <w:left w:val="nil"/>
          <w:bottom w:val="nil"/>
          <w:right w:val="nil"/>
          <w:between w:val="nil"/>
        </w:pBdr>
        <w:spacing w:after="0" w:line="240" w:lineRule="auto"/>
        <w:rPr>
          <w:b/>
          <w:bCs/>
        </w:rPr>
      </w:pPr>
      <w:r w:rsidRPr="00E04C60">
        <w:rPr>
          <w:b/>
          <w:bCs/>
        </w:rPr>
        <w:t>Rationale</w:t>
      </w:r>
    </w:p>
    <w:p w14:paraId="264FA365" w14:textId="77777777" w:rsidR="00624C81" w:rsidRDefault="00281664">
      <w:pPr>
        <w:pBdr>
          <w:top w:val="nil"/>
          <w:left w:val="nil"/>
          <w:bottom w:val="nil"/>
          <w:right w:val="nil"/>
          <w:between w:val="nil"/>
        </w:pBdr>
        <w:spacing w:after="0" w:line="240" w:lineRule="auto"/>
        <w:rPr>
          <w:sz w:val="24"/>
          <w:szCs w:val="24"/>
        </w:rPr>
      </w:pPr>
      <w:r>
        <w:tab/>
      </w:r>
      <w:r>
        <w:tab/>
      </w:r>
      <w:r>
        <w:tab/>
      </w:r>
      <w:r>
        <w:tab/>
      </w:r>
      <w:r>
        <w:tab/>
      </w:r>
    </w:p>
    <w:p w14:paraId="2FF53B96" w14:textId="476D7A80" w:rsidR="00387FB6" w:rsidRPr="00517B7B" w:rsidRDefault="00387FB6" w:rsidP="005F1D10">
      <w:pPr>
        <w:spacing w:line="260" w:lineRule="atLeast"/>
        <w:rPr>
          <w:rFonts w:eastAsia="Times New Roman" w:cstheme="minorHAnsi"/>
          <w:sz w:val="24"/>
          <w:szCs w:val="24"/>
        </w:rPr>
      </w:pPr>
      <w:r w:rsidRPr="008B7239">
        <w:rPr>
          <w:rFonts w:eastAsia="Times New Roman" w:cstheme="minorHAnsi"/>
          <w:color w:val="333333"/>
          <w:sz w:val="24"/>
          <w:szCs w:val="24"/>
        </w:rPr>
        <w:t xml:space="preserve">The board acknowledges and accepts its responsibility to provide each student enrolled in a school operated by the board an education program consistent with the requirements of the </w:t>
      </w:r>
      <w:r w:rsidRPr="008B7239">
        <w:rPr>
          <w:rFonts w:eastAsia="Times New Roman" w:cstheme="minorHAnsi"/>
          <w:i/>
          <w:iCs/>
          <w:color w:val="333333"/>
          <w:sz w:val="24"/>
          <w:szCs w:val="24"/>
        </w:rPr>
        <w:t>Education Act</w:t>
      </w:r>
      <w:r w:rsidRPr="008B7239">
        <w:rPr>
          <w:rFonts w:eastAsia="Times New Roman" w:cstheme="minorHAnsi"/>
          <w:color w:val="333333"/>
          <w:sz w:val="24"/>
          <w:szCs w:val="24"/>
        </w:rPr>
        <w:t xml:space="preserve">. The board </w:t>
      </w:r>
      <w:r w:rsidR="002572F5" w:rsidRPr="008B7239">
        <w:rPr>
          <w:rFonts w:eastAsia="Times New Roman" w:cstheme="minorHAnsi"/>
          <w:color w:val="333333"/>
          <w:sz w:val="24"/>
          <w:szCs w:val="24"/>
        </w:rPr>
        <w:t>endeavours</w:t>
      </w:r>
      <w:r w:rsidRPr="008B7239">
        <w:rPr>
          <w:rFonts w:eastAsia="Times New Roman" w:cstheme="minorHAnsi"/>
          <w:color w:val="333333"/>
          <w:sz w:val="24"/>
          <w:szCs w:val="24"/>
        </w:rPr>
        <w:t xml:space="preserve"> in all circumstances, including during public health emergencies, other states of emergency declared by government or local facility emergencies, to give all students the opportunity to meet the standards of education set by the Minister. While prioritizing the value of in-person learning opportunities for students’ mental well-being and success, the board nevertheless recognizes its need to respond flexibly to unanticipated emergencies. The board is sensitive to the needs and unique circumstances of families and students when determining how best to deliver educational services to students and affirms its commitment to ensuring the educational best interests of the students is always its first and primary concern, whether the educational offering is “in-person learning” or “at-home learning”. </w:t>
      </w:r>
      <w:r w:rsidR="002572F5" w:rsidRPr="00517B7B">
        <w:rPr>
          <w:rFonts w:eastAsia="Times New Roman" w:cstheme="minorHAnsi"/>
          <w:sz w:val="24"/>
          <w:szCs w:val="24"/>
        </w:rPr>
        <w:t>The board also recognizes that parents are the prime educators of the child and will endeavour to involve parents in assuring that the needs of all children are being met.</w:t>
      </w:r>
    </w:p>
    <w:p w14:paraId="6DFBA728" w14:textId="77777777" w:rsidR="00387FB6" w:rsidRPr="008B7239" w:rsidRDefault="00387FB6" w:rsidP="00387FB6">
      <w:pPr>
        <w:rPr>
          <w:rFonts w:asciiTheme="majorHAnsi" w:eastAsia="Times New Roman" w:hAnsiTheme="majorHAnsi" w:cstheme="majorHAnsi"/>
          <w:color w:val="333333"/>
          <w:sz w:val="24"/>
          <w:szCs w:val="24"/>
        </w:rPr>
      </w:pPr>
      <w:r w:rsidRPr="008B7239">
        <w:rPr>
          <w:rFonts w:asciiTheme="majorHAnsi" w:eastAsia="Times New Roman" w:hAnsiTheme="majorHAnsi" w:cstheme="majorHAnsi"/>
          <w:b/>
          <w:bCs/>
          <w:color w:val="333333"/>
          <w:sz w:val="24"/>
          <w:szCs w:val="24"/>
        </w:rPr>
        <w:t>References</w:t>
      </w:r>
    </w:p>
    <w:p w14:paraId="6A48962D" w14:textId="77777777" w:rsidR="00387FB6" w:rsidRPr="008B7239" w:rsidRDefault="00387FB6" w:rsidP="00387FB6">
      <w:pPr>
        <w:pStyle w:val="ListParagraph"/>
        <w:numPr>
          <w:ilvl w:val="0"/>
          <w:numId w:val="1"/>
        </w:numPr>
        <w:spacing w:before="195" w:line="42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Education Act, Sections 3.1, 3.2, 11(2), 11.1, 32(a), 33(1)(d), 33.2</w:t>
      </w:r>
    </w:p>
    <w:p w14:paraId="7DB624DF" w14:textId="77777777" w:rsidR="00387FB6" w:rsidRPr="008B7239" w:rsidRDefault="00387FB6" w:rsidP="00387FB6">
      <w:pPr>
        <w:pStyle w:val="ListParagraph"/>
        <w:numPr>
          <w:ilvl w:val="0"/>
          <w:numId w:val="1"/>
        </w:numPr>
        <w:spacing w:before="195" w:line="42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Public Health Act, section 29(2.1), 52.1, 52.2, 75</w:t>
      </w:r>
    </w:p>
    <w:p w14:paraId="4FB167C3" w14:textId="77777777" w:rsidR="00387FB6" w:rsidRPr="008B7239" w:rsidRDefault="00387FB6" w:rsidP="00387FB6">
      <w:pPr>
        <w:pStyle w:val="ListParagraph"/>
        <w:numPr>
          <w:ilvl w:val="0"/>
          <w:numId w:val="1"/>
        </w:numPr>
        <w:spacing w:before="195" w:line="42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Emergency Management Act, Sections 18(1), 18(5.1), 21</w:t>
      </w:r>
    </w:p>
    <w:p w14:paraId="63E67B47" w14:textId="77777777" w:rsidR="00387FB6" w:rsidRPr="008B7239" w:rsidRDefault="00387FB6" w:rsidP="00387FB6">
      <w:pPr>
        <w:pStyle w:val="ListParagraph"/>
        <w:numPr>
          <w:ilvl w:val="0"/>
          <w:numId w:val="1"/>
        </w:numPr>
        <w:spacing w:before="195" w:line="42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Alberta Regulation 13/2025 (In-Person Learning Regulation)</w:t>
      </w:r>
    </w:p>
    <w:p w14:paraId="1C145206" w14:textId="77777777" w:rsidR="00387FB6" w:rsidRPr="009C73EA" w:rsidRDefault="00387FB6" w:rsidP="00387FB6">
      <w:pPr>
        <w:rPr>
          <w:rFonts w:eastAsia="Times New Roman" w:cstheme="minorHAnsi"/>
          <w:color w:val="333333"/>
        </w:rPr>
      </w:pPr>
      <w:r w:rsidRPr="009C73EA">
        <w:rPr>
          <w:rFonts w:eastAsia="Times New Roman" w:cstheme="minorHAnsi"/>
          <w:color w:val="333333"/>
        </w:rPr>
        <w:br w:type="page"/>
      </w:r>
    </w:p>
    <w:p w14:paraId="529B73FD" w14:textId="77777777" w:rsidR="00387FB6" w:rsidRPr="009C73EA" w:rsidRDefault="00387FB6" w:rsidP="00387FB6">
      <w:pPr>
        <w:pBdr>
          <w:bottom w:val="single" w:sz="12" w:space="1" w:color="auto"/>
        </w:pBdr>
        <w:rPr>
          <w:b/>
          <w:bCs/>
          <w:sz w:val="28"/>
          <w:szCs w:val="28"/>
        </w:rPr>
      </w:pPr>
      <w:r w:rsidRPr="009C73EA">
        <w:rPr>
          <w:b/>
          <w:bCs/>
          <w:sz w:val="28"/>
          <w:szCs w:val="28"/>
        </w:rPr>
        <w:lastRenderedPageBreak/>
        <w:t xml:space="preserve">Administrative Procedure – Requirements for In Person and At Home Learning </w:t>
      </w:r>
    </w:p>
    <w:p w14:paraId="30BD9983" w14:textId="77777777" w:rsidR="00387FB6" w:rsidRPr="009C73EA" w:rsidRDefault="00387FB6" w:rsidP="00387FB6">
      <w:pPr>
        <w:rPr>
          <w:b/>
          <w:bCs/>
          <w:sz w:val="28"/>
          <w:szCs w:val="28"/>
        </w:rPr>
      </w:pPr>
    </w:p>
    <w:p w14:paraId="74B6FFF1" w14:textId="77777777" w:rsidR="00387FB6" w:rsidRPr="008B7239" w:rsidRDefault="00387FB6" w:rsidP="00387FB6">
      <w:pPr>
        <w:pStyle w:val="citation0"/>
        <w:spacing w:before="0" w:beforeAutospacing="0" w:after="200" w:afterAutospacing="0" w:line="190" w:lineRule="atLeast"/>
        <w:rPr>
          <w:rFonts w:asciiTheme="majorHAnsi" w:hAnsiTheme="majorHAnsi" w:cstheme="majorHAnsi"/>
          <w:color w:val="333333"/>
        </w:rPr>
      </w:pPr>
      <w:r w:rsidRPr="008B7239">
        <w:rPr>
          <w:rFonts w:asciiTheme="majorHAnsi" w:hAnsiTheme="majorHAnsi" w:cstheme="majorHAnsi"/>
          <w:b/>
          <w:bCs/>
          <w:color w:val="333333"/>
        </w:rPr>
        <w:t>Definitions</w:t>
      </w:r>
    </w:p>
    <w:p w14:paraId="2B85BA16" w14:textId="6AFD552E"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sz w:val="24"/>
          <w:szCs w:val="24"/>
        </w:rPr>
        <w:t>“</w:t>
      </w:r>
      <w:r w:rsidRPr="008B7239">
        <w:rPr>
          <w:rFonts w:asciiTheme="majorHAnsi" w:hAnsiTheme="majorHAnsi" w:cstheme="majorHAnsi"/>
          <w:b/>
          <w:bCs/>
          <w:sz w:val="24"/>
          <w:szCs w:val="24"/>
        </w:rPr>
        <w:t>At - home learning</w:t>
      </w:r>
      <w:r w:rsidRPr="008B7239">
        <w:rPr>
          <w:rFonts w:asciiTheme="majorHAnsi" w:hAnsiTheme="majorHAnsi" w:cstheme="majorHAnsi"/>
          <w:sz w:val="24"/>
          <w:szCs w:val="24"/>
        </w:rPr>
        <w:t xml:space="preserve">” - means, in </w:t>
      </w:r>
      <w:r w:rsidRPr="00517B7B">
        <w:rPr>
          <w:rFonts w:asciiTheme="majorHAnsi" w:hAnsiTheme="majorHAnsi" w:cstheme="majorHAnsi"/>
          <w:sz w:val="24"/>
          <w:szCs w:val="24"/>
        </w:rPr>
        <w:t xml:space="preserve">this </w:t>
      </w:r>
      <w:r w:rsidR="00233955" w:rsidRPr="00517B7B">
        <w:rPr>
          <w:rFonts w:asciiTheme="majorHAnsi" w:hAnsiTheme="majorHAnsi" w:cstheme="majorHAnsi"/>
          <w:sz w:val="24"/>
          <w:szCs w:val="24"/>
        </w:rPr>
        <w:t>policy</w:t>
      </w:r>
      <w:r w:rsidRPr="008B7239">
        <w:rPr>
          <w:rFonts w:asciiTheme="majorHAnsi" w:hAnsiTheme="majorHAnsi" w:cstheme="majorHAnsi"/>
          <w:sz w:val="24"/>
          <w:szCs w:val="24"/>
        </w:rPr>
        <w:t>, teacher</w:t>
      </w:r>
      <w:r w:rsidRPr="008B7239">
        <w:rPr>
          <w:rFonts w:asciiTheme="majorHAnsi" w:hAnsiTheme="majorHAnsi" w:cstheme="majorHAnsi"/>
          <w:sz w:val="24"/>
          <w:szCs w:val="24"/>
        </w:rPr>
        <w:noBreakHyphen/>
        <w:t>directed education programming provided by a person responsible for the operation of a independent school to a student on a temporary basis at the student’s residence or at a location other than the student’s regularly attended school;</w:t>
      </w:r>
    </w:p>
    <w:p w14:paraId="4440A972" w14:textId="6833B416"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Board</w:t>
      </w:r>
      <w:r w:rsidRPr="008B7239">
        <w:rPr>
          <w:rFonts w:asciiTheme="majorHAnsi" w:hAnsiTheme="majorHAnsi" w:cstheme="majorHAnsi"/>
          <w:sz w:val="24"/>
          <w:szCs w:val="24"/>
        </w:rPr>
        <w:t xml:space="preserve"> - means, in 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w:t>
      </w:r>
      <w:r w:rsidRPr="008B7239">
        <w:rPr>
          <w:rFonts w:asciiTheme="majorHAnsi" w:hAnsiTheme="majorHAnsi" w:cstheme="majorHAnsi"/>
          <w:sz w:val="24"/>
          <w:szCs w:val="24"/>
        </w:rPr>
        <w:t xml:space="preserve"> the body responsible for the governance, including the fiscal and organizational governance of the independent school;</w:t>
      </w:r>
    </w:p>
    <w:p w14:paraId="7FB150E1" w14:textId="74EEF0BC"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Communicable disease</w:t>
      </w:r>
      <w:r w:rsidRPr="008B7239">
        <w:rPr>
          <w:rFonts w:asciiTheme="majorHAnsi" w:hAnsiTheme="majorHAnsi" w:cstheme="majorHAnsi"/>
          <w:sz w:val="24"/>
          <w:szCs w:val="24"/>
        </w:rPr>
        <w:t xml:space="preserve"> – means, in 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w:t>
      </w:r>
      <w:r w:rsidRPr="008B7239">
        <w:rPr>
          <w:rFonts w:asciiTheme="majorHAnsi" w:hAnsiTheme="majorHAnsi" w:cstheme="majorHAnsi"/>
          <w:sz w:val="24"/>
          <w:szCs w:val="24"/>
        </w:rPr>
        <w:t xml:space="preserve"> an illness in humans that is caused by an organism or micro-organism or its toxic products and is transmitted directly or indirectly from an infected person or animal or the environment;</w:t>
      </w:r>
    </w:p>
    <w:p w14:paraId="5078B91B" w14:textId="3F4E1481"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Consent during emergencies</w:t>
      </w:r>
      <w:r w:rsidRPr="008B7239">
        <w:rPr>
          <w:rFonts w:asciiTheme="majorHAnsi" w:hAnsiTheme="majorHAnsi" w:cstheme="majorHAnsi"/>
          <w:sz w:val="24"/>
          <w:szCs w:val="24"/>
        </w:rPr>
        <w:t xml:space="preserve"> - means, in </w:t>
      </w:r>
      <w:r w:rsidRPr="00517B7B">
        <w:rPr>
          <w:rFonts w:asciiTheme="majorHAnsi" w:hAnsiTheme="majorHAnsi" w:cstheme="majorHAnsi"/>
          <w:sz w:val="24"/>
          <w:szCs w:val="24"/>
        </w:rPr>
        <w:t xml:space="preserve">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the requirement for parental notification and any subsequent permission or agreement related to any health measures intended to be undertaken in a school and to apply to the body of a student;</w:t>
      </w:r>
    </w:p>
    <w:p w14:paraId="426213E7" w14:textId="5C8A8B4C"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Independent Student</w:t>
      </w:r>
      <w:r w:rsidRPr="008B7239">
        <w:rPr>
          <w:rFonts w:asciiTheme="majorHAnsi" w:hAnsiTheme="majorHAnsi" w:cstheme="majorHAnsi"/>
          <w:sz w:val="24"/>
          <w:szCs w:val="24"/>
        </w:rPr>
        <w:t xml:space="preserve"> - means, in </w:t>
      </w:r>
      <w:r w:rsidRPr="00517B7B">
        <w:rPr>
          <w:rFonts w:asciiTheme="majorHAnsi" w:hAnsiTheme="majorHAnsi" w:cstheme="majorHAnsi"/>
          <w:sz w:val="24"/>
          <w:szCs w:val="24"/>
        </w:rPr>
        <w:t xml:space="preserve">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a </w:t>
      </w:r>
      <w:r w:rsidRPr="008B7239">
        <w:rPr>
          <w:rFonts w:asciiTheme="majorHAnsi" w:hAnsiTheme="majorHAnsi" w:cstheme="majorHAnsi"/>
          <w:sz w:val="24"/>
          <w:szCs w:val="24"/>
        </w:rPr>
        <w:t xml:space="preserve">student 16 years of age or older and living independently as determined by a board in accordance with section 6 of the Education Act, or a party to an agreement under section 57(2) of the </w:t>
      </w:r>
      <w:r w:rsidRPr="008B7239">
        <w:rPr>
          <w:rFonts w:asciiTheme="majorHAnsi" w:hAnsiTheme="majorHAnsi" w:cstheme="majorHAnsi"/>
          <w:sz w:val="24"/>
          <w:szCs w:val="24"/>
        </w:rPr>
        <w:br/>
        <w:t>Child, Youth and Family Enhancement Act;</w:t>
      </w:r>
    </w:p>
    <w:p w14:paraId="47A26F9E" w14:textId="6B013ABD"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sz w:val="24"/>
          <w:szCs w:val="24"/>
        </w:rPr>
        <w:t>“</w:t>
      </w:r>
      <w:r w:rsidRPr="008B7239">
        <w:rPr>
          <w:rFonts w:asciiTheme="majorHAnsi" w:hAnsiTheme="majorHAnsi" w:cstheme="majorHAnsi"/>
          <w:b/>
          <w:bCs/>
          <w:sz w:val="24"/>
          <w:szCs w:val="24"/>
        </w:rPr>
        <w:t>In - Person learning</w:t>
      </w:r>
      <w:r w:rsidRPr="008B7239">
        <w:rPr>
          <w:rFonts w:asciiTheme="majorHAnsi" w:hAnsiTheme="majorHAnsi" w:cstheme="majorHAnsi"/>
          <w:sz w:val="24"/>
          <w:szCs w:val="24"/>
        </w:rPr>
        <w:t xml:space="preserve">”- means, in </w:t>
      </w:r>
      <w:r w:rsidRPr="00517B7B">
        <w:rPr>
          <w:rFonts w:asciiTheme="majorHAnsi" w:hAnsiTheme="majorHAnsi" w:cstheme="majorHAnsi"/>
          <w:sz w:val="24"/>
          <w:szCs w:val="24"/>
        </w:rPr>
        <w:t xml:space="preserve">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teacher</w:t>
      </w:r>
      <w:r w:rsidRPr="008B7239">
        <w:rPr>
          <w:rFonts w:asciiTheme="majorHAnsi" w:hAnsiTheme="majorHAnsi" w:cstheme="majorHAnsi"/>
          <w:sz w:val="24"/>
          <w:szCs w:val="24"/>
        </w:rPr>
        <w:noBreakHyphen/>
        <w:t>directed education programming provided by a person responsible for the operation of a</w:t>
      </w:r>
      <w:r w:rsidR="005F1D10">
        <w:rPr>
          <w:rFonts w:asciiTheme="majorHAnsi" w:hAnsiTheme="majorHAnsi" w:cstheme="majorHAnsi"/>
          <w:sz w:val="24"/>
          <w:szCs w:val="24"/>
        </w:rPr>
        <w:t>n</w:t>
      </w:r>
      <w:r w:rsidRPr="008B7239">
        <w:rPr>
          <w:rFonts w:asciiTheme="majorHAnsi" w:hAnsiTheme="majorHAnsi" w:cstheme="majorHAnsi"/>
          <w:sz w:val="24"/>
          <w:szCs w:val="24"/>
        </w:rPr>
        <w:t xml:space="preserve"> independent school to a student at the student’s school of regular attendance;</w:t>
      </w:r>
    </w:p>
    <w:p w14:paraId="3DA0CD0D" w14:textId="69C16640"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Local State of Emergency</w:t>
      </w:r>
      <w:r w:rsidRPr="008B7239">
        <w:rPr>
          <w:rFonts w:asciiTheme="majorHAnsi" w:hAnsiTheme="majorHAnsi" w:cstheme="majorHAnsi"/>
          <w:sz w:val="24"/>
          <w:szCs w:val="24"/>
        </w:rPr>
        <w:t xml:space="preserve"> - means, in 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a localized disaster or emergency situation declared by the municipal authority in a town or community where a school is located and where the board, in consultation with its principal and with the municipal authority, must assess the scope of the emergency and determine how (or if) and under what circumstances school classes can continue;</w:t>
      </w:r>
    </w:p>
    <w:p w14:paraId="5CE73E98" w14:textId="2186ACDB"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Order</w:t>
      </w:r>
      <w:r w:rsidRPr="008B7239">
        <w:rPr>
          <w:rFonts w:asciiTheme="majorHAnsi" w:hAnsiTheme="majorHAnsi" w:cstheme="majorHAnsi"/>
          <w:sz w:val="24"/>
          <w:szCs w:val="24"/>
        </w:rPr>
        <w:t xml:space="preserve"> – means, in 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a prescription established by the Minister under section 11.1 of the Education Act in relation to the rights of a student to an education during an emergency;</w:t>
      </w:r>
    </w:p>
    <w:p w14:paraId="2E592303" w14:textId="05EE19C9"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Parent</w:t>
      </w:r>
      <w:r w:rsidRPr="008B7239">
        <w:rPr>
          <w:rFonts w:asciiTheme="majorHAnsi" w:hAnsiTheme="majorHAnsi" w:cstheme="majorHAnsi"/>
          <w:sz w:val="24"/>
          <w:szCs w:val="24"/>
        </w:rPr>
        <w:t xml:space="preserve"> – means, in this</w:t>
      </w:r>
      <w:r w:rsidR="002572F5">
        <w:rPr>
          <w:rFonts w:asciiTheme="majorHAnsi" w:hAnsiTheme="majorHAnsi" w:cstheme="majorHAnsi"/>
          <w:sz w:val="24"/>
          <w:szCs w:val="24"/>
        </w:rPr>
        <w:t xml:space="preserve"> </w:t>
      </w:r>
      <w:r w:rsidR="002572F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the parent/guardian as defined in section 1(2) of the Education Act;</w:t>
      </w:r>
    </w:p>
    <w:p w14:paraId="2CA1031B" w14:textId="3DCEAEAC"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lastRenderedPageBreak/>
        <w:t>Public Health Emergency</w:t>
      </w:r>
      <w:r w:rsidRPr="008B7239">
        <w:rPr>
          <w:rFonts w:asciiTheme="majorHAnsi" w:hAnsiTheme="majorHAnsi" w:cstheme="majorHAnsi"/>
          <w:sz w:val="24"/>
          <w:szCs w:val="24"/>
        </w:rPr>
        <w:t xml:space="preserve"> - means, in 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w:t>
      </w:r>
      <w:r w:rsidRPr="008B7239">
        <w:rPr>
          <w:rFonts w:asciiTheme="majorHAnsi" w:hAnsiTheme="majorHAnsi" w:cstheme="majorHAnsi"/>
          <w:sz w:val="24"/>
          <w:szCs w:val="24"/>
        </w:rPr>
        <w:t xml:space="preserve"> a declaration by government under the Public Health Act of an urgent and temporary occurrence or threat of occurrence of an illness, a health condition, an epidemic or pandemic disease, a novel or highly infectious agent or biological toxin, the presence of a chemical agent or radioactive material that poses a significant risk to the public of an increase in disease, injuries, disabilities or deaths in excess of expectations during times of normalcy;</w:t>
      </w:r>
    </w:p>
    <w:p w14:paraId="3800F48E" w14:textId="17F2C9AC"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Reporting Obligations</w:t>
      </w:r>
      <w:r w:rsidRPr="008B7239">
        <w:rPr>
          <w:rFonts w:asciiTheme="majorHAnsi" w:hAnsiTheme="majorHAnsi" w:cstheme="majorHAnsi"/>
          <w:sz w:val="24"/>
          <w:szCs w:val="24"/>
        </w:rPr>
        <w:t xml:space="preserve"> - means, in </w:t>
      </w:r>
      <w:r w:rsidRPr="00517B7B">
        <w:rPr>
          <w:rFonts w:asciiTheme="majorHAnsi" w:hAnsiTheme="majorHAnsi" w:cstheme="majorHAnsi"/>
          <w:sz w:val="24"/>
          <w:szCs w:val="24"/>
        </w:rPr>
        <w:t xml:space="preserve">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the requirement under the Public Health Act for a teacher or a person in charge of an institution to notify a medical officer of health when the teacher or person in charge suspects the existence of a communicable disease or any other illness or health condition occurring at an unusually high rate;</w:t>
      </w:r>
    </w:p>
    <w:p w14:paraId="17B2CBF2" w14:textId="46AD0BD6"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Right of access to education-</w:t>
      </w:r>
      <w:r w:rsidRPr="008B7239">
        <w:rPr>
          <w:rFonts w:asciiTheme="majorHAnsi" w:hAnsiTheme="majorHAnsi" w:cstheme="majorHAnsi"/>
          <w:sz w:val="24"/>
          <w:szCs w:val="24"/>
        </w:rPr>
        <w:t xml:space="preserve"> means, in 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the requirement under section 3(1) of the Education Act which indicates that every person who on Sept 1 is 6 years of age or older, younger than 19 years of age, is resident of Alberta and has a parent who is a resident of Canada is entitled to access in that year to an education program in accordance with the Act.</w:t>
      </w:r>
    </w:p>
    <w:p w14:paraId="4146CD05" w14:textId="4422B8B9"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School Facility Emergency</w:t>
      </w:r>
      <w:r w:rsidRPr="008B7239">
        <w:rPr>
          <w:rFonts w:asciiTheme="majorHAnsi" w:hAnsiTheme="majorHAnsi" w:cstheme="majorHAnsi"/>
          <w:sz w:val="24"/>
          <w:szCs w:val="24"/>
        </w:rPr>
        <w:t xml:space="preserve"> – means, in 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00755213" w:rsidRPr="00517B7B">
        <w:rPr>
          <w:rFonts w:asciiTheme="majorHAnsi" w:hAnsiTheme="majorHAnsi" w:cstheme="majorHAnsi"/>
          <w:sz w:val="24"/>
          <w:szCs w:val="24"/>
        </w:rPr>
        <w:t xml:space="preserve">an </w:t>
      </w:r>
      <w:r w:rsidR="00755213" w:rsidRPr="008B7239">
        <w:rPr>
          <w:rFonts w:asciiTheme="majorHAnsi" w:hAnsiTheme="majorHAnsi" w:cstheme="majorHAnsi"/>
          <w:sz w:val="24"/>
          <w:szCs w:val="24"/>
        </w:rPr>
        <w:t>emergency</w:t>
      </w:r>
      <w:r w:rsidRPr="008B7239">
        <w:rPr>
          <w:rFonts w:asciiTheme="majorHAnsi" w:hAnsiTheme="majorHAnsi" w:cstheme="majorHAnsi"/>
          <w:sz w:val="24"/>
          <w:szCs w:val="24"/>
        </w:rPr>
        <w:t xml:space="preserve"> declared by a board when an unanticipated event in or near the school building (including but not limited to fire, flood, heating or utility failure issues) has rendered the school, or parts of it, unsafe for student use;</w:t>
      </w:r>
    </w:p>
    <w:p w14:paraId="543404F1" w14:textId="6A149821"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State of Emergency</w:t>
      </w:r>
      <w:r w:rsidRPr="008B7239">
        <w:rPr>
          <w:rFonts w:asciiTheme="majorHAnsi" w:hAnsiTheme="majorHAnsi" w:cstheme="majorHAnsi"/>
          <w:sz w:val="24"/>
          <w:szCs w:val="24"/>
        </w:rPr>
        <w:t xml:space="preserve"> - means, in </w:t>
      </w:r>
      <w:r w:rsidRPr="00517B7B">
        <w:rPr>
          <w:rFonts w:asciiTheme="majorHAnsi" w:hAnsiTheme="majorHAnsi" w:cstheme="majorHAnsi"/>
          <w:sz w:val="24"/>
          <w:szCs w:val="24"/>
        </w:rPr>
        <w:t xml:space="preserve">this </w:t>
      </w:r>
      <w:r w:rsidR="00233955" w:rsidRPr="00517B7B">
        <w:rPr>
          <w:rFonts w:asciiTheme="majorHAnsi" w:hAnsiTheme="majorHAnsi" w:cstheme="majorHAnsi"/>
          <w:sz w:val="24"/>
          <w:szCs w:val="24"/>
        </w:rPr>
        <w:t>policy</w:t>
      </w:r>
      <w:r w:rsidRPr="00517B7B">
        <w:rPr>
          <w:rFonts w:asciiTheme="majorHAnsi" w:hAnsiTheme="majorHAnsi" w:cstheme="majorHAnsi"/>
          <w:sz w:val="24"/>
          <w:szCs w:val="24"/>
        </w:rPr>
        <w:t xml:space="preserve">, </w:t>
      </w:r>
      <w:r w:rsidRPr="008B7239">
        <w:rPr>
          <w:rFonts w:asciiTheme="majorHAnsi" w:hAnsiTheme="majorHAnsi" w:cstheme="majorHAnsi"/>
          <w:sz w:val="24"/>
          <w:szCs w:val="24"/>
        </w:rPr>
        <w:t>a situation declared under the Alberta Emergency Management Act that threatens public safety, public health, the environment, critical infrastructure, property and or economic stability and under which government is empowered to perform actions or impose policies it would not normally be permitted to undertake; and</w:t>
      </w:r>
    </w:p>
    <w:p w14:paraId="6AAE805E" w14:textId="58E7D60D" w:rsidR="00387FB6" w:rsidRPr="008B7239" w:rsidRDefault="00387FB6" w:rsidP="00387FB6">
      <w:pPr>
        <w:rPr>
          <w:rFonts w:asciiTheme="majorHAnsi" w:hAnsiTheme="majorHAnsi" w:cstheme="majorHAnsi"/>
          <w:sz w:val="24"/>
          <w:szCs w:val="24"/>
        </w:rPr>
      </w:pPr>
      <w:r w:rsidRPr="008B7239">
        <w:rPr>
          <w:rFonts w:asciiTheme="majorHAnsi" w:hAnsiTheme="majorHAnsi" w:cstheme="majorHAnsi"/>
          <w:b/>
          <w:bCs/>
          <w:sz w:val="24"/>
          <w:szCs w:val="24"/>
        </w:rPr>
        <w:t>Student</w:t>
      </w:r>
      <w:r w:rsidRPr="008B7239">
        <w:rPr>
          <w:rFonts w:asciiTheme="majorHAnsi" w:hAnsiTheme="majorHAnsi" w:cstheme="majorHAnsi"/>
          <w:sz w:val="24"/>
          <w:szCs w:val="24"/>
        </w:rPr>
        <w:t xml:space="preserve"> – means, in </w:t>
      </w:r>
      <w:r w:rsidRPr="00517B7B">
        <w:rPr>
          <w:rFonts w:asciiTheme="majorHAnsi" w:hAnsiTheme="majorHAnsi" w:cstheme="majorHAnsi"/>
          <w:sz w:val="24"/>
          <w:szCs w:val="24"/>
        </w:rPr>
        <w:t xml:space="preserve">this </w:t>
      </w:r>
      <w:r w:rsidR="00233955" w:rsidRPr="00517B7B">
        <w:rPr>
          <w:rFonts w:asciiTheme="majorHAnsi" w:hAnsiTheme="majorHAnsi" w:cstheme="majorHAnsi"/>
          <w:sz w:val="24"/>
          <w:szCs w:val="24"/>
        </w:rPr>
        <w:t xml:space="preserve">policy </w:t>
      </w:r>
      <w:r w:rsidRPr="008B7239">
        <w:rPr>
          <w:rFonts w:asciiTheme="majorHAnsi" w:hAnsiTheme="majorHAnsi" w:cstheme="majorHAnsi"/>
          <w:sz w:val="24"/>
          <w:szCs w:val="24"/>
        </w:rPr>
        <w:t xml:space="preserve">a person who is enrolled or required under section 7 of the Education Act to attend </w:t>
      </w:r>
      <w:r w:rsidR="00755213" w:rsidRPr="008B7239">
        <w:rPr>
          <w:rFonts w:asciiTheme="majorHAnsi" w:hAnsiTheme="majorHAnsi" w:cstheme="majorHAnsi"/>
          <w:sz w:val="24"/>
          <w:szCs w:val="24"/>
        </w:rPr>
        <w:t>school but</w:t>
      </w:r>
      <w:r w:rsidRPr="008B7239">
        <w:rPr>
          <w:rFonts w:asciiTheme="majorHAnsi" w:hAnsiTheme="majorHAnsi" w:cstheme="majorHAnsi"/>
          <w:sz w:val="24"/>
          <w:szCs w:val="24"/>
        </w:rPr>
        <w:t xml:space="preserve"> does not include a child younger than 6 years of age who is enrolled in an early childhood services program.</w:t>
      </w:r>
    </w:p>
    <w:p w14:paraId="437F88CA" w14:textId="77777777" w:rsidR="00387FB6" w:rsidRPr="008B7239" w:rsidRDefault="00387FB6" w:rsidP="00387FB6">
      <w:pPr>
        <w:rPr>
          <w:rFonts w:asciiTheme="majorHAnsi" w:hAnsiTheme="majorHAnsi" w:cstheme="majorHAnsi"/>
          <w:sz w:val="24"/>
          <w:szCs w:val="24"/>
        </w:rPr>
      </w:pPr>
    </w:p>
    <w:p w14:paraId="0EAF83C7" w14:textId="77777777" w:rsidR="00387FB6" w:rsidRPr="008B7239" w:rsidRDefault="00387FB6" w:rsidP="00387FB6">
      <w:pPr>
        <w:rPr>
          <w:rFonts w:asciiTheme="majorHAnsi" w:eastAsia="Times New Roman" w:hAnsiTheme="majorHAnsi" w:cstheme="majorHAnsi"/>
          <w:b/>
          <w:bCs/>
          <w:color w:val="333333"/>
          <w:sz w:val="24"/>
          <w:szCs w:val="24"/>
        </w:rPr>
      </w:pPr>
      <w:r w:rsidRPr="008B7239">
        <w:rPr>
          <w:rFonts w:asciiTheme="majorHAnsi" w:eastAsia="Times New Roman" w:hAnsiTheme="majorHAnsi" w:cstheme="majorHAnsi"/>
          <w:b/>
          <w:bCs/>
          <w:color w:val="333333"/>
          <w:sz w:val="24"/>
          <w:szCs w:val="24"/>
        </w:rPr>
        <w:t>Context</w:t>
      </w:r>
    </w:p>
    <w:p w14:paraId="7E5F2D53" w14:textId="77777777" w:rsidR="00387FB6" w:rsidRPr="008B7239" w:rsidRDefault="00387FB6" w:rsidP="00387FB6">
      <w:pPr>
        <w:spacing w:line="260" w:lineRule="atLeast"/>
        <w:rPr>
          <w:rFonts w:asciiTheme="majorHAnsi" w:eastAsia="Times New Roman" w:hAnsiTheme="majorHAnsi" w:cstheme="majorHAnsi"/>
          <w:color w:val="333333"/>
          <w:sz w:val="24"/>
          <w:szCs w:val="24"/>
        </w:rPr>
      </w:pPr>
      <w:r w:rsidRPr="008B7239">
        <w:rPr>
          <w:rFonts w:asciiTheme="majorHAnsi" w:eastAsia="Times New Roman" w:hAnsiTheme="majorHAnsi" w:cstheme="majorHAnsi"/>
          <w:color w:val="333333"/>
          <w:sz w:val="24"/>
          <w:szCs w:val="24"/>
        </w:rPr>
        <w:t xml:space="preserve">A 2024 amendment to the </w:t>
      </w:r>
      <w:r w:rsidRPr="008B7239">
        <w:rPr>
          <w:rFonts w:asciiTheme="majorHAnsi" w:eastAsia="Times New Roman" w:hAnsiTheme="majorHAnsi" w:cstheme="majorHAnsi"/>
          <w:i/>
          <w:iCs/>
          <w:color w:val="333333"/>
          <w:sz w:val="24"/>
          <w:szCs w:val="24"/>
        </w:rPr>
        <w:t>Education Act</w:t>
      </w:r>
      <w:r w:rsidRPr="008B7239">
        <w:rPr>
          <w:rFonts w:asciiTheme="majorHAnsi" w:eastAsia="Times New Roman" w:hAnsiTheme="majorHAnsi" w:cstheme="majorHAnsi"/>
          <w:color w:val="333333"/>
          <w:sz w:val="24"/>
          <w:szCs w:val="24"/>
        </w:rPr>
        <w:t xml:space="preserve"> establishes a new right to education for students during emergency situations identified under section 3.1(1) of the </w:t>
      </w:r>
      <w:r w:rsidRPr="008B7239">
        <w:rPr>
          <w:rFonts w:asciiTheme="majorHAnsi" w:eastAsia="Times New Roman" w:hAnsiTheme="majorHAnsi" w:cstheme="majorHAnsi"/>
          <w:i/>
          <w:iCs/>
          <w:color w:val="333333"/>
          <w:sz w:val="24"/>
          <w:szCs w:val="24"/>
        </w:rPr>
        <w:t>Education Act</w:t>
      </w:r>
      <w:r w:rsidRPr="008B7239">
        <w:rPr>
          <w:rFonts w:asciiTheme="majorHAnsi" w:eastAsia="Times New Roman" w:hAnsiTheme="majorHAnsi" w:cstheme="majorHAnsi"/>
          <w:color w:val="333333"/>
          <w:sz w:val="24"/>
          <w:szCs w:val="24"/>
        </w:rPr>
        <w:t xml:space="preserve"> which include but are not limited to health emergencies. The right is underscored by the position that student access to in-person learning throughout public health emergencies or states of emergency must be a priority, especially in regard to enabling maximum student success and maintaining students’ mental well-being. School authorities in Alberta, including boards governing independent schools are all required to have policy addressing in-person learning, at-home learning and planned transitions between the two. </w:t>
      </w:r>
    </w:p>
    <w:p w14:paraId="245AC6A9" w14:textId="77777777" w:rsidR="00387FB6" w:rsidRPr="008B7239" w:rsidRDefault="00387FB6" w:rsidP="00387FB6">
      <w:pPr>
        <w:spacing w:line="260" w:lineRule="atLeast"/>
        <w:rPr>
          <w:rFonts w:asciiTheme="majorHAnsi" w:eastAsia="Times New Roman" w:hAnsiTheme="majorHAnsi" w:cstheme="majorHAnsi"/>
          <w:b/>
          <w:bCs/>
          <w:color w:val="333333"/>
          <w:sz w:val="24"/>
          <w:szCs w:val="24"/>
        </w:rPr>
      </w:pPr>
    </w:p>
    <w:p w14:paraId="4983FE76" w14:textId="77777777" w:rsidR="00387FB6" w:rsidRPr="008B7239" w:rsidRDefault="00387FB6" w:rsidP="00387FB6">
      <w:pPr>
        <w:spacing w:line="260" w:lineRule="atLeast"/>
        <w:rPr>
          <w:rFonts w:asciiTheme="majorHAnsi" w:eastAsia="Times New Roman" w:hAnsiTheme="majorHAnsi" w:cstheme="majorHAnsi"/>
          <w:b/>
          <w:bCs/>
          <w:color w:val="333333"/>
          <w:sz w:val="24"/>
          <w:szCs w:val="24"/>
        </w:rPr>
      </w:pPr>
      <w:r w:rsidRPr="008B7239">
        <w:rPr>
          <w:rFonts w:asciiTheme="majorHAnsi" w:eastAsia="Times New Roman" w:hAnsiTheme="majorHAnsi" w:cstheme="majorHAnsi"/>
          <w:b/>
          <w:bCs/>
          <w:color w:val="333333"/>
          <w:sz w:val="24"/>
          <w:szCs w:val="24"/>
        </w:rPr>
        <w:lastRenderedPageBreak/>
        <w:t>Procedures</w:t>
      </w:r>
    </w:p>
    <w:p w14:paraId="67C5D021" w14:textId="77777777" w:rsidR="00387FB6" w:rsidRPr="008B7239" w:rsidRDefault="00387FB6" w:rsidP="00387FB6">
      <w:pPr>
        <w:spacing w:line="260" w:lineRule="atLeast"/>
        <w:rPr>
          <w:rFonts w:asciiTheme="majorHAnsi" w:eastAsia="Times New Roman" w:hAnsiTheme="majorHAnsi" w:cstheme="majorHAnsi"/>
          <w:color w:val="333333"/>
          <w:sz w:val="24"/>
          <w:szCs w:val="24"/>
        </w:rPr>
      </w:pPr>
    </w:p>
    <w:p w14:paraId="2ACE64F8"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The board delegates to the principal the responsibility for communicating to parents, staff and students the requirements of the </w:t>
      </w:r>
      <w:r w:rsidRPr="008B7239">
        <w:rPr>
          <w:rFonts w:asciiTheme="majorHAnsi" w:eastAsia="Times New Roman" w:hAnsiTheme="majorHAnsi" w:cstheme="majorHAnsi"/>
          <w:i/>
          <w:iCs/>
          <w:color w:val="333333"/>
          <w:kern w:val="0"/>
          <w14:ligatures w14:val="none"/>
        </w:rPr>
        <w:t>Education Act</w:t>
      </w:r>
      <w:r w:rsidRPr="008B7239">
        <w:rPr>
          <w:rFonts w:asciiTheme="majorHAnsi" w:eastAsia="Times New Roman" w:hAnsiTheme="majorHAnsi" w:cstheme="majorHAnsi"/>
          <w:color w:val="333333"/>
          <w:kern w:val="0"/>
          <w14:ligatures w14:val="none"/>
        </w:rPr>
        <w:t xml:space="preserve"> and applicable regulations as they apply to “in-person learning” and “at-home” learning.</w:t>
      </w:r>
    </w:p>
    <w:p w14:paraId="4B0455E9"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In particular, the principal shall communicate the board’s commitment to providing students with access to education programming that provides the student the opportunity to meet the standards set by the Minister, even during declared public health emergencies and/or other states of emergency.</w:t>
      </w:r>
    </w:p>
    <w:p w14:paraId="0060A0FE"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Except in those emergency situations where the Minister has made an order to the contrary, the principal and staff shall endeavor as a matter of priority to maintain in-person learning opportunities for students.</w:t>
      </w:r>
    </w:p>
    <w:p w14:paraId="160CDF7B"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In fulfilling the responsibility in 1.2 above when concerns exist about limiting or preventing spread of any communicable disease as defined in the</w:t>
      </w:r>
      <w:r w:rsidRPr="008B7239">
        <w:rPr>
          <w:rFonts w:asciiTheme="majorHAnsi" w:eastAsia="Times New Roman" w:hAnsiTheme="majorHAnsi" w:cstheme="majorHAnsi"/>
          <w:i/>
          <w:iCs/>
          <w:color w:val="333333"/>
          <w:kern w:val="0"/>
          <w14:ligatures w14:val="none"/>
        </w:rPr>
        <w:t xml:space="preserve"> Public</w:t>
      </w:r>
      <w:r w:rsidRPr="008B7239">
        <w:rPr>
          <w:rFonts w:asciiTheme="majorHAnsi" w:eastAsia="Times New Roman" w:hAnsiTheme="majorHAnsi" w:cstheme="majorHAnsi"/>
          <w:color w:val="333333"/>
          <w:kern w:val="0"/>
          <w14:ligatures w14:val="none"/>
        </w:rPr>
        <w:t xml:space="preserve"> </w:t>
      </w:r>
      <w:r w:rsidRPr="008B7239">
        <w:rPr>
          <w:rFonts w:asciiTheme="majorHAnsi" w:eastAsia="Times New Roman" w:hAnsiTheme="majorHAnsi" w:cstheme="majorHAnsi"/>
          <w:i/>
          <w:iCs/>
          <w:color w:val="333333"/>
          <w:kern w:val="0"/>
          <w14:ligatures w14:val="none"/>
        </w:rPr>
        <w:t>Health Act</w:t>
      </w:r>
      <w:r w:rsidRPr="008B7239">
        <w:rPr>
          <w:rFonts w:asciiTheme="majorHAnsi" w:eastAsia="Times New Roman" w:hAnsiTheme="majorHAnsi" w:cstheme="majorHAnsi"/>
          <w:color w:val="333333"/>
          <w:kern w:val="0"/>
          <w14:ligatures w14:val="none"/>
        </w:rPr>
        <w:t>, the principal and staff shall respect choices made by parents and students to either wear or not wear a face mask or any other face covering.</w:t>
      </w:r>
    </w:p>
    <w:p w14:paraId="06E635CC" w14:textId="77777777" w:rsidR="00387FB6" w:rsidRPr="005F1D10" w:rsidRDefault="00387FB6" w:rsidP="00387FB6">
      <w:pPr>
        <w:pStyle w:val="ListParagraph"/>
        <w:numPr>
          <w:ilvl w:val="2"/>
          <w:numId w:val="2"/>
        </w:numPr>
        <w:spacing w:line="260" w:lineRule="atLeast"/>
        <w:rPr>
          <w:rFonts w:asciiTheme="majorHAnsi" w:eastAsia="Times New Roman" w:hAnsiTheme="majorHAnsi" w:cstheme="majorHAnsi"/>
          <w:color w:val="333333"/>
          <w:kern w:val="0"/>
          <w:highlight w:val="yellow"/>
          <w14:ligatures w14:val="none"/>
        </w:rPr>
      </w:pPr>
      <w:r w:rsidRPr="00517B7B">
        <w:rPr>
          <w:rFonts w:asciiTheme="majorHAnsi" w:hAnsiTheme="majorHAnsi" w:cstheme="majorHAnsi"/>
          <w:color w:val="000000"/>
        </w:rPr>
        <w:t>Fu</w:t>
      </w:r>
      <w:r w:rsidRPr="008B7239">
        <w:rPr>
          <w:rFonts w:asciiTheme="majorHAnsi" w:hAnsiTheme="majorHAnsi" w:cstheme="majorHAnsi"/>
          <w:color w:val="000000"/>
        </w:rPr>
        <w:t xml:space="preserve">rther, if during an emergency described in section 3.1(1) of the </w:t>
      </w:r>
      <w:r w:rsidRPr="008B7239">
        <w:rPr>
          <w:rFonts w:asciiTheme="majorHAnsi" w:hAnsiTheme="majorHAnsi" w:cstheme="majorHAnsi"/>
          <w:i/>
          <w:iCs/>
          <w:color w:val="000000"/>
        </w:rPr>
        <w:t>Education Act</w:t>
      </w:r>
      <w:r w:rsidRPr="008B7239">
        <w:rPr>
          <w:rFonts w:asciiTheme="majorHAnsi" w:hAnsiTheme="majorHAnsi" w:cstheme="majorHAnsi"/>
          <w:color w:val="000000"/>
        </w:rPr>
        <w:t xml:space="preserve">, health measures established by a board that relate to the emergency are </w:t>
      </w:r>
      <w:r w:rsidRPr="00517B7B">
        <w:rPr>
          <w:rFonts w:asciiTheme="majorHAnsi" w:hAnsiTheme="majorHAnsi" w:cstheme="majorHAnsi"/>
          <w:color w:val="000000"/>
        </w:rPr>
        <w:t xml:space="preserve">intended to apply to the body of a student, the principal must before the intended health measures are applied to the body of the student, </w:t>
      </w:r>
    </w:p>
    <w:p w14:paraId="48AA9939" w14:textId="77777777" w:rsidR="00387FB6" w:rsidRPr="008B7239" w:rsidRDefault="00387FB6" w:rsidP="00387FB6">
      <w:pPr>
        <w:pStyle w:val="ListParagraph"/>
        <w:numPr>
          <w:ilvl w:val="3"/>
          <w:numId w:val="2"/>
        </w:numPr>
        <w:spacing w:line="260" w:lineRule="atLeast"/>
        <w:rPr>
          <w:rFonts w:asciiTheme="majorHAnsi" w:eastAsia="Times New Roman" w:hAnsiTheme="majorHAnsi" w:cstheme="majorHAnsi"/>
          <w:color w:val="333333"/>
          <w:kern w:val="0"/>
          <w14:ligatures w14:val="none"/>
        </w:rPr>
      </w:pPr>
      <w:r w:rsidRPr="008B7239">
        <w:rPr>
          <w:rFonts w:asciiTheme="majorHAnsi" w:hAnsiTheme="majorHAnsi" w:cstheme="majorHAnsi"/>
          <w:color w:val="000000"/>
        </w:rPr>
        <w:t>in the case of a student who is under 16 years of age, seek the consent of the student’s parent, or</w:t>
      </w:r>
    </w:p>
    <w:p w14:paraId="53C501FE" w14:textId="77777777" w:rsidR="00387FB6" w:rsidRPr="008B7239" w:rsidRDefault="00387FB6" w:rsidP="00387FB6">
      <w:pPr>
        <w:pStyle w:val="ListParagraph"/>
        <w:numPr>
          <w:ilvl w:val="3"/>
          <w:numId w:val="2"/>
        </w:numPr>
        <w:spacing w:line="260" w:lineRule="atLeast"/>
        <w:rPr>
          <w:rFonts w:asciiTheme="majorHAnsi" w:eastAsia="Times New Roman" w:hAnsiTheme="majorHAnsi" w:cstheme="majorHAnsi"/>
          <w:color w:val="333333"/>
          <w:kern w:val="0"/>
          <w14:ligatures w14:val="none"/>
        </w:rPr>
      </w:pPr>
      <w:r w:rsidRPr="008B7239">
        <w:rPr>
          <w:rFonts w:asciiTheme="majorHAnsi" w:hAnsiTheme="majorHAnsi" w:cstheme="majorHAnsi"/>
          <w:color w:val="000000"/>
        </w:rPr>
        <w:t>in the case of a student who is 16 years of age or older and considered an independent student as defined in these procedures, seek the consent of the student, or</w:t>
      </w:r>
    </w:p>
    <w:p w14:paraId="47EA5AF8" w14:textId="77777777" w:rsidR="00387FB6" w:rsidRPr="008B7239" w:rsidRDefault="00387FB6" w:rsidP="00387FB6">
      <w:pPr>
        <w:pStyle w:val="ListParagraph"/>
        <w:numPr>
          <w:ilvl w:val="3"/>
          <w:numId w:val="2"/>
        </w:numPr>
        <w:spacing w:line="260" w:lineRule="atLeast"/>
        <w:rPr>
          <w:rFonts w:asciiTheme="majorHAnsi" w:eastAsia="Times New Roman" w:hAnsiTheme="majorHAnsi" w:cstheme="majorHAnsi"/>
          <w:color w:val="333333"/>
          <w:kern w:val="0"/>
          <w14:ligatures w14:val="none"/>
        </w:rPr>
      </w:pPr>
      <w:r w:rsidRPr="008B7239">
        <w:rPr>
          <w:rFonts w:asciiTheme="majorHAnsi" w:hAnsiTheme="majorHAnsi" w:cstheme="majorHAnsi"/>
          <w:color w:val="000000"/>
        </w:rPr>
        <w:t xml:space="preserve">in the case of any other student who is 16 years of age or older, notify the student’s parent and seek the consent of the student or the parent, in accordance with section 3.2(1)(a) and (b) of the </w:t>
      </w:r>
      <w:r w:rsidRPr="008B7239">
        <w:rPr>
          <w:rFonts w:asciiTheme="majorHAnsi" w:hAnsiTheme="majorHAnsi" w:cstheme="majorHAnsi"/>
          <w:i/>
          <w:iCs/>
          <w:color w:val="000000"/>
        </w:rPr>
        <w:t>Education Act</w:t>
      </w:r>
      <w:r w:rsidRPr="008B7239">
        <w:rPr>
          <w:rFonts w:asciiTheme="majorHAnsi" w:hAnsiTheme="majorHAnsi" w:cstheme="majorHAnsi"/>
          <w:color w:val="000000"/>
        </w:rPr>
        <w:t>.</w:t>
      </w:r>
    </w:p>
    <w:p w14:paraId="04B0B2F1"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Even with the school’s desire to prioritize and maintain in-person learning during public health emergencies, other states of emergency or a school facility emergency, the school principal and staff, in considering the unique circumstances, needs and interests of families and students and the school community itself, may from time to time determine that some or all students in grades 1 -12 require an at-home learning program.</w:t>
      </w:r>
    </w:p>
    <w:p w14:paraId="09CD68AC"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 Unless the school has been exempted from the terms of the </w:t>
      </w:r>
      <w:r w:rsidRPr="008B7239">
        <w:rPr>
          <w:rFonts w:asciiTheme="majorHAnsi" w:eastAsia="Times New Roman" w:hAnsiTheme="majorHAnsi" w:cstheme="majorHAnsi"/>
          <w:i/>
          <w:iCs/>
          <w:color w:val="333333"/>
          <w:kern w:val="0"/>
          <w14:ligatures w14:val="none"/>
        </w:rPr>
        <w:t xml:space="preserve">In-Person Learning Regulation </w:t>
      </w:r>
      <w:r w:rsidRPr="008B7239">
        <w:rPr>
          <w:rFonts w:asciiTheme="majorHAnsi" w:eastAsia="Times New Roman" w:hAnsiTheme="majorHAnsi" w:cstheme="majorHAnsi"/>
          <w:color w:val="333333"/>
          <w:kern w:val="0"/>
          <w14:ligatures w14:val="none"/>
        </w:rPr>
        <w:t>by order of the Minister because of the particular nature or impacts of the emergency situation, the principal’s decision to provide an option for at-home learning at any grade levels, must be matched by the school’s provision of in-person learning in those grade levels.</w:t>
      </w:r>
    </w:p>
    <w:p w14:paraId="28354CE7"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Notwithstanding the priority for maintaining in-person learning as expressed in 1.1 to 1.4 above, as the </w:t>
      </w:r>
      <w:r w:rsidRPr="008B7239">
        <w:rPr>
          <w:rFonts w:asciiTheme="majorHAnsi" w:eastAsia="Times New Roman" w:hAnsiTheme="majorHAnsi" w:cstheme="majorHAnsi"/>
          <w:i/>
          <w:iCs/>
          <w:color w:val="333333"/>
          <w:kern w:val="0"/>
          <w14:ligatures w14:val="none"/>
        </w:rPr>
        <w:t>Public Health Act</w:t>
      </w:r>
      <w:r w:rsidRPr="008B7239">
        <w:rPr>
          <w:rFonts w:asciiTheme="majorHAnsi" w:eastAsia="Times New Roman" w:hAnsiTheme="majorHAnsi" w:cstheme="majorHAnsi"/>
          <w:color w:val="333333"/>
          <w:kern w:val="0"/>
          <w14:ligatures w14:val="none"/>
        </w:rPr>
        <w:t xml:space="preserve"> remains the overarching direction on all public health matters and may prevail over the </w:t>
      </w:r>
      <w:r w:rsidRPr="008B7239">
        <w:rPr>
          <w:rFonts w:asciiTheme="majorHAnsi" w:eastAsia="Times New Roman" w:hAnsiTheme="majorHAnsi" w:cstheme="majorHAnsi"/>
          <w:i/>
          <w:iCs/>
          <w:color w:val="333333"/>
          <w:kern w:val="0"/>
          <w14:ligatures w14:val="none"/>
        </w:rPr>
        <w:t>Education Act</w:t>
      </w:r>
      <w:r w:rsidRPr="008B7239">
        <w:rPr>
          <w:rFonts w:asciiTheme="majorHAnsi" w:eastAsia="Times New Roman" w:hAnsiTheme="majorHAnsi" w:cstheme="majorHAnsi"/>
          <w:color w:val="333333"/>
          <w:kern w:val="0"/>
          <w14:ligatures w14:val="none"/>
        </w:rPr>
        <w:t>, the principal and staff shall always cooperate with public health authorities in managing emergencies and will adhere to all appliable orders of Alberta Health Services or emergency officials.</w:t>
      </w:r>
    </w:p>
    <w:p w14:paraId="1FD3F929"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lastRenderedPageBreak/>
        <w:t xml:space="preserve">In those circumstances where a school authority must temporarily cancel classes due to short term emergent situations such as inclement weather, a gas leak or a power outage, there is no requirement for the school authority to request an exemption to the </w:t>
      </w:r>
      <w:r w:rsidRPr="008B7239">
        <w:rPr>
          <w:rFonts w:asciiTheme="majorHAnsi" w:eastAsia="Times New Roman" w:hAnsiTheme="majorHAnsi" w:cstheme="majorHAnsi"/>
          <w:i/>
          <w:iCs/>
          <w:color w:val="333333"/>
          <w:kern w:val="0"/>
          <w14:ligatures w14:val="none"/>
        </w:rPr>
        <w:t>In-Person Learning Regulation</w:t>
      </w:r>
      <w:r w:rsidRPr="008B7239">
        <w:rPr>
          <w:rFonts w:asciiTheme="majorHAnsi" w:eastAsia="Times New Roman" w:hAnsiTheme="majorHAnsi" w:cstheme="majorHAnsi"/>
          <w:color w:val="333333"/>
          <w:kern w:val="0"/>
          <w14:ligatures w14:val="none"/>
        </w:rPr>
        <w:t>.</w:t>
      </w:r>
    </w:p>
    <w:p w14:paraId="220A5910"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In the face of an emergency situation unrelated to the public health emergencies and other states of emergency identified under section 3.1(1) of the Act, the principal, following consultation with the board, may temporarily determine the need to transition some or all students to at-home without also providing an in-person learning option if:</w:t>
      </w:r>
    </w:p>
    <w:p w14:paraId="02077303"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Circumstances threaten the safe operation of all or part of the building where students regularly attend school;</w:t>
      </w:r>
    </w:p>
    <w:p w14:paraId="72D3F668"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board and the principal are satisfied that given the circumstances referred to in 2.1, it is reasonably necessary to restrict access to all or part of the building where students normally attend, and unreasonable to conduct in-person learning; and</w:t>
      </w:r>
    </w:p>
    <w:p w14:paraId="48A0D617"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board and principal plan to provide at-home learning without an in-person learning option for 3 consecutive school days or less.</w:t>
      </w:r>
    </w:p>
    <w:p w14:paraId="5D4206E5"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Within 48 hours of the commencement of the temporary at-home learning described in 2 above, the principal shall on the board’s behalf notify the Minister, in a form and manner acceptable to the Minister, of:</w:t>
      </w:r>
    </w:p>
    <w:p w14:paraId="490F7787"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date and time when the at-home learning began;</w:t>
      </w:r>
    </w:p>
    <w:p w14:paraId="716944F1"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the total number of students and the grades of the students for whom the at-home learning is provided; and </w:t>
      </w:r>
    </w:p>
    <w:p w14:paraId="6E86B5A7"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date and time upon which the school plans to resume the provision of in-person learning for some or all students.</w:t>
      </w:r>
    </w:p>
    <w:p w14:paraId="40F3BB48"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Once the in-person learning option has resumed for some or all students, the principal on behalf of the board must once again notify the Minister, of:</w:t>
      </w:r>
    </w:p>
    <w:p w14:paraId="61649D7C"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date and time at which the school’s in-person learning option resumed;</w:t>
      </w:r>
    </w:p>
    <w:p w14:paraId="6BFA8033"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total number of students and the grades of the students for whom the in-person learning option resumed; and</w:t>
      </w:r>
    </w:p>
    <w:p w14:paraId="041522C9"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school’s plans, if any, to continue providing at-home learning without providing an in-person learning option.</w:t>
      </w:r>
    </w:p>
    <w:p w14:paraId="39E42F0B"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Where the plans expressed by the principal and the board in 4.3 above indicate a need for the school to continue providing at-home learning without an in-person option for some or all of the students in the school, then the Minister may establish an order under section 2(3) of the </w:t>
      </w:r>
      <w:r w:rsidRPr="008B7239">
        <w:rPr>
          <w:rFonts w:asciiTheme="majorHAnsi" w:eastAsia="Times New Roman" w:hAnsiTheme="majorHAnsi" w:cstheme="majorHAnsi"/>
          <w:i/>
          <w:iCs/>
          <w:color w:val="333333"/>
          <w:kern w:val="0"/>
          <w14:ligatures w14:val="none"/>
        </w:rPr>
        <w:t xml:space="preserve">In-Person Learning Regulation </w:t>
      </w:r>
      <w:r w:rsidRPr="008B7239">
        <w:rPr>
          <w:rFonts w:asciiTheme="majorHAnsi" w:eastAsia="Times New Roman" w:hAnsiTheme="majorHAnsi" w:cstheme="majorHAnsi"/>
          <w:color w:val="333333"/>
          <w:kern w:val="0"/>
          <w14:ligatures w14:val="none"/>
        </w:rPr>
        <w:t>to exempt the school from the requirement to provide an in-person learning option, provided:</w:t>
      </w:r>
    </w:p>
    <w:p w14:paraId="01ED916A"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principal and board are satisfied that the conditions that threaten the safe operation of all or part of the school building and referenced in 2.1 above, continue;</w:t>
      </w:r>
    </w:p>
    <w:p w14:paraId="11F04FE0"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principal and board are satisfied that it is necessary under the circumstances to continue to restrict access to all or part of the building where students regularly attend school and not reasonable to resume in-person learning; and</w:t>
      </w:r>
    </w:p>
    <w:p w14:paraId="4B34F8FA"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principal and board comply with the terms and conditions of the Ministerial Order.</w:t>
      </w:r>
    </w:p>
    <w:p w14:paraId="4A406CEE"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lastRenderedPageBreak/>
        <w:t>With the implementation of the Minister’s order in 5 above, the principal and staff shall commit to making every reasonable effort to enable all students to continue with the same courses and education studies in place at the time at-home learning began.</w:t>
      </w:r>
    </w:p>
    <w:p w14:paraId="249FC5B2"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The principal shall work with staff to develop and annually update the school’s contingency plans for responding to emergency situations with in-person and at-home learning, and the principal shall report to the board a summary of this plan. The plan shall include:</w:t>
      </w:r>
    </w:p>
    <w:p w14:paraId="20701256"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A description of factors the school will take into account in determining whether learning will continue in-person or whether it may need to be complemented by at-home learning;</w:t>
      </w:r>
    </w:p>
    <w:p w14:paraId="067C2A76"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A description of any alternative solutions that might permit in-person learning to continue, where the school building itself or parts of it are otherwise compromised by the emergency;</w:t>
      </w:r>
    </w:p>
    <w:p w14:paraId="6475B3B4"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An indication of the steps the school has taken to ensure its readiness for a possible transition to at-home learning, including the school’s efforts to ensure teachers are competent in delivering at-home learning, and a description of the resources and virtual learning platform teachers will use to ensure students have the opportunity to meet the intended learning outcomes of their respective programs of study;</w:t>
      </w:r>
    </w:p>
    <w:p w14:paraId="127BDB22"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An overview of the home-school communication plan the school will use when providing the at-home learning option, including opportunities for direct communication between teachers and parents or teachers and students, when that may be necessary.</w:t>
      </w:r>
    </w:p>
    <w:p w14:paraId="3492598E" w14:textId="77777777" w:rsidR="00387FB6" w:rsidRPr="008B7239" w:rsidRDefault="00387FB6" w:rsidP="00387FB6">
      <w:pPr>
        <w:pStyle w:val="ListParagraph"/>
        <w:spacing w:line="260" w:lineRule="atLeast"/>
        <w:ind w:left="1080"/>
        <w:rPr>
          <w:rFonts w:asciiTheme="majorHAnsi" w:eastAsia="Times New Roman" w:hAnsiTheme="majorHAnsi" w:cstheme="majorHAnsi"/>
          <w:color w:val="333333"/>
          <w:kern w:val="0"/>
          <w14:ligatures w14:val="none"/>
        </w:rPr>
      </w:pPr>
    </w:p>
    <w:p w14:paraId="6D826AE2" w14:textId="77777777" w:rsidR="00387FB6" w:rsidRPr="008B7239" w:rsidRDefault="00387FB6" w:rsidP="00387FB6">
      <w:pPr>
        <w:pStyle w:val="ListParagraph"/>
        <w:spacing w:line="260" w:lineRule="atLeast"/>
        <w:ind w:left="360"/>
        <w:rPr>
          <w:rFonts w:asciiTheme="majorHAnsi" w:eastAsia="Times New Roman" w:hAnsiTheme="majorHAnsi" w:cstheme="majorHAnsi"/>
          <w:color w:val="333333"/>
          <w:kern w:val="0"/>
          <w:u w:val="single"/>
          <w14:ligatures w14:val="none"/>
        </w:rPr>
      </w:pPr>
      <w:r w:rsidRPr="008B7239">
        <w:rPr>
          <w:rFonts w:asciiTheme="majorHAnsi" w:eastAsia="Times New Roman" w:hAnsiTheme="majorHAnsi" w:cstheme="majorHAnsi"/>
          <w:color w:val="333333"/>
          <w:kern w:val="0"/>
          <w:u w:val="single"/>
          <w14:ligatures w14:val="none"/>
        </w:rPr>
        <w:t>Guidelines for School Staff Response to Emergency Situations</w:t>
      </w:r>
    </w:p>
    <w:p w14:paraId="3F4B5930" w14:textId="77777777" w:rsidR="00387FB6" w:rsidRPr="008B7239" w:rsidRDefault="00387FB6" w:rsidP="00387FB6">
      <w:pPr>
        <w:pStyle w:val="ListParagraph"/>
        <w:numPr>
          <w:ilvl w:val="0"/>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When emergencies are declared by government or arise otherwise in a school environment, the principal and staff must consider how best to preserve in-person learning programs, along with when and how to employ an at-home learning option.</w:t>
      </w:r>
    </w:p>
    <w:p w14:paraId="48A94E4B"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In determining the potential for the in-person learning to continue, the principal and staff should:</w:t>
      </w:r>
    </w:p>
    <w:p w14:paraId="222D7481"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Assess the breadth and scope of the emergency situation and determine the degree to which in-person learning may reasonably continue with minor adjustments, or where in-person learning opportunities alone may be compromised by the impacts of the emergency situation;</w:t>
      </w:r>
    </w:p>
    <w:p w14:paraId="44DB49DC"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Communicate to parents of enrolled students to ensure parents are fully informed about the nature of the emergency and the challenges which may be apparent in maintaining in-person learning. </w:t>
      </w:r>
    </w:p>
    <w:p w14:paraId="2BAD6453"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Where a facility emergency at the school limits in-person learning for some students, consider reorganization possibilities for the school building to ensure in-person learning remains a priority for the most vulnerable learners and for those deemed less able to perform successfully with an at-home learning option; </w:t>
      </w:r>
    </w:p>
    <w:p w14:paraId="35EE911B"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If possible, ensure that efforts are made to address the needs of children in Early Childhood Services programs. Recognizing that ECS children are not of compulsory school age, the principal and staff shall nevertheless endeavor to </w:t>
      </w:r>
      <w:r w:rsidRPr="008B7239">
        <w:rPr>
          <w:rFonts w:asciiTheme="majorHAnsi" w:eastAsia="Times New Roman" w:hAnsiTheme="majorHAnsi" w:cstheme="majorHAnsi"/>
          <w:color w:val="333333"/>
          <w:kern w:val="0"/>
          <w14:ligatures w14:val="none"/>
        </w:rPr>
        <w:lastRenderedPageBreak/>
        <w:t>continue ECS programming during emergencies through alternative arrangements or remote activities;</w:t>
      </w:r>
    </w:p>
    <w:p w14:paraId="1C418131"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Review opportunities for the school to continue in-person learning in an alternate venue (including a neighboring school or other public venue), if any exist and if those facilities can meet health and safety requirements.</w:t>
      </w:r>
    </w:p>
    <w:p w14:paraId="1805FA1D"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When the nature of the emergency situation makes it apparent to the principal and staff that in-person learning must, at least temporarily, be matched by at-home learning, then the principal should:</w:t>
      </w:r>
    </w:p>
    <w:p w14:paraId="3858DEB0"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Communicate with parents to explain the nature of the emergency situation and to describe the student learning options recommended by staff;</w:t>
      </w:r>
    </w:p>
    <w:p w14:paraId="4463C999"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 xml:space="preserve">Engage with teachers to review the learning styles and needs of students and to identify the cohort of students most able to successfully navigate the shift from in-person to at-home learning; </w:t>
      </w:r>
    </w:p>
    <w:p w14:paraId="4339CD3F"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Develop, organize and allocate technical and human resources to ensure that staff have the expertise and the resources to confidently deliver at-home learning in such ways that students can successfully achieve the intended learning outcomes in each of their courses of study.</w:t>
      </w:r>
    </w:p>
    <w:p w14:paraId="1B83BB7C" w14:textId="77777777" w:rsidR="00387FB6" w:rsidRPr="008B7239" w:rsidRDefault="00387FB6" w:rsidP="00387FB6">
      <w:pPr>
        <w:pStyle w:val="ListParagraph"/>
        <w:numPr>
          <w:ilvl w:val="1"/>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When the effects of an emergency situation are such that in-person learning is not deemed safe nor that it is apt to become safe in the foreseeable future, then the board shall promptly seek Ministerial exemption to temporarily shift to at-home learning. Subject to the terms and conditions of such an order, the principal and staff should:</w:t>
      </w:r>
    </w:p>
    <w:p w14:paraId="27BC5678"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Communicate with parents of all enrolled students to describe the emergency situation, the likely timeline for resolution, and the school’s plan to transition to at-home learning for the entire student body;</w:t>
      </w:r>
    </w:p>
    <w:p w14:paraId="7F4E0BF0" w14:textId="274EED5C"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Where the emergency is a “school facility emergency” as described in this p</w:t>
      </w:r>
      <w:r w:rsidR="00755213">
        <w:rPr>
          <w:rFonts w:asciiTheme="majorHAnsi" w:eastAsia="Times New Roman" w:hAnsiTheme="majorHAnsi" w:cstheme="majorHAnsi"/>
          <w:color w:val="333333"/>
          <w:kern w:val="0"/>
          <w14:ligatures w14:val="none"/>
        </w:rPr>
        <w:t>olicy</w:t>
      </w:r>
      <w:r w:rsidRPr="008B7239">
        <w:rPr>
          <w:rFonts w:asciiTheme="majorHAnsi" w:eastAsia="Times New Roman" w:hAnsiTheme="majorHAnsi" w:cstheme="majorHAnsi"/>
          <w:color w:val="333333"/>
          <w:kern w:val="0"/>
          <w14:ligatures w14:val="none"/>
        </w:rPr>
        <w:t>, support those parents who may wish to explore alternate in-person learning options in another school or another school authority;</w:t>
      </w:r>
    </w:p>
    <w:p w14:paraId="702CE7ED" w14:textId="77777777"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Organize resources, build professional expertise and either independently or in partnership with other schools experienced in distance and virtual education, establish effective delivery platforms for at-home learning.</w:t>
      </w:r>
    </w:p>
    <w:p w14:paraId="4095C04F" w14:textId="2AE6D2FD" w:rsidR="00387FB6" w:rsidRPr="008B7239" w:rsidRDefault="00387FB6" w:rsidP="00387FB6">
      <w:pPr>
        <w:pStyle w:val="ListParagraph"/>
        <w:numPr>
          <w:ilvl w:val="2"/>
          <w:numId w:val="2"/>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Establish strategies to enable regular and ongoing feedback between students and teachers, and between parents and the school principal, as one means to mitigate the limitations of the at-home learning and to increase the likelihood of student success.</w:t>
      </w:r>
    </w:p>
    <w:p w14:paraId="4BFF6812" w14:textId="77777777" w:rsidR="00387FB6" w:rsidRPr="008B7239" w:rsidRDefault="00387FB6" w:rsidP="00387FB6">
      <w:pPr>
        <w:pStyle w:val="ListParagraph"/>
        <w:spacing w:line="260" w:lineRule="atLeast"/>
        <w:ind w:left="0"/>
        <w:rPr>
          <w:rFonts w:asciiTheme="majorHAnsi" w:eastAsia="Times New Roman" w:hAnsiTheme="majorHAnsi" w:cstheme="majorHAnsi"/>
          <w:color w:val="333333"/>
          <w:kern w:val="0"/>
          <w14:ligatures w14:val="none"/>
        </w:rPr>
      </w:pPr>
    </w:p>
    <w:p w14:paraId="20485E6C" w14:textId="77777777" w:rsidR="00387FB6" w:rsidRPr="008B7239" w:rsidRDefault="00387FB6" w:rsidP="00387FB6">
      <w:pPr>
        <w:pStyle w:val="ListParagraph"/>
        <w:spacing w:line="260" w:lineRule="atLeast"/>
        <w:ind w:left="0"/>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References</w:t>
      </w:r>
    </w:p>
    <w:p w14:paraId="135B0D95" w14:textId="77777777" w:rsidR="00387FB6" w:rsidRPr="008B7239" w:rsidRDefault="00387FB6" w:rsidP="00387FB6">
      <w:pPr>
        <w:pStyle w:val="ListParagraph"/>
        <w:spacing w:line="260" w:lineRule="atLeast"/>
        <w:ind w:left="0"/>
        <w:rPr>
          <w:rFonts w:asciiTheme="majorHAnsi" w:eastAsia="Times New Roman" w:hAnsiTheme="majorHAnsi" w:cstheme="majorHAnsi"/>
          <w:color w:val="333333"/>
          <w:kern w:val="0"/>
          <w14:ligatures w14:val="none"/>
        </w:rPr>
      </w:pPr>
    </w:p>
    <w:p w14:paraId="2724D762" w14:textId="77777777" w:rsidR="00387FB6" w:rsidRPr="008B7239" w:rsidRDefault="00387FB6" w:rsidP="00387FB6">
      <w:pPr>
        <w:pStyle w:val="ListParagraph"/>
        <w:numPr>
          <w:ilvl w:val="0"/>
          <w:numId w:val="1"/>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Education Act</w:t>
      </w:r>
    </w:p>
    <w:p w14:paraId="4B67A4AA" w14:textId="77777777" w:rsidR="00387FB6" w:rsidRPr="008B7239" w:rsidRDefault="00387FB6" w:rsidP="00387FB6">
      <w:pPr>
        <w:pStyle w:val="ListParagraph"/>
        <w:numPr>
          <w:ilvl w:val="0"/>
          <w:numId w:val="1"/>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Independent Schools Regulation</w:t>
      </w:r>
    </w:p>
    <w:p w14:paraId="6224F455" w14:textId="77777777" w:rsidR="00387FB6" w:rsidRPr="008B7239" w:rsidRDefault="00387FB6" w:rsidP="00387FB6">
      <w:pPr>
        <w:pStyle w:val="ListParagraph"/>
        <w:numPr>
          <w:ilvl w:val="0"/>
          <w:numId w:val="1"/>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Alberta Regulation 13/2025 (In-Person Learning Regulation)</w:t>
      </w:r>
    </w:p>
    <w:p w14:paraId="3EBE5445" w14:textId="77777777" w:rsidR="00387FB6" w:rsidRPr="008B7239" w:rsidRDefault="00387FB6" w:rsidP="00387FB6">
      <w:pPr>
        <w:pStyle w:val="ListParagraph"/>
        <w:numPr>
          <w:ilvl w:val="0"/>
          <w:numId w:val="1"/>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Public Health Act of Alberta</w:t>
      </w:r>
    </w:p>
    <w:p w14:paraId="26B3AA6B" w14:textId="77777777" w:rsidR="00387FB6" w:rsidRPr="008B7239" w:rsidRDefault="00387FB6" w:rsidP="00387FB6">
      <w:pPr>
        <w:pStyle w:val="ListParagraph"/>
        <w:numPr>
          <w:ilvl w:val="0"/>
          <w:numId w:val="1"/>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Emergency Management Act of Alberta</w:t>
      </w:r>
    </w:p>
    <w:p w14:paraId="559D8C0F" w14:textId="77777777" w:rsidR="00387FB6" w:rsidRPr="008B7239" w:rsidRDefault="00387FB6" w:rsidP="00387FB6">
      <w:pPr>
        <w:pStyle w:val="ListParagraph"/>
        <w:numPr>
          <w:ilvl w:val="0"/>
          <w:numId w:val="1"/>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Child, Youth and Family Enhancement Act</w:t>
      </w:r>
    </w:p>
    <w:p w14:paraId="1A40183C" w14:textId="7A137DD4" w:rsidR="00624C81" w:rsidRPr="008B7239" w:rsidRDefault="00387FB6" w:rsidP="00387FB6">
      <w:pPr>
        <w:pStyle w:val="ListParagraph"/>
        <w:numPr>
          <w:ilvl w:val="0"/>
          <w:numId w:val="1"/>
        </w:numPr>
        <w:spacing w:line="260" w:lineRule="atLeast"/>
        <w:rPr>
          <w:rFonts w:asciiTheme="majorHAnsi" w:eastAsia="Times New Roman" w:hAnsiTheme="majorHAnsi" w:cstheme="majorHAnsi"/>
          <w:color w:val="333333"/>
          <w:kern w:val="0"/>
          <w14:ligatures w14:val="none"/>
        </w:rPr>
      </w:pPr>
      <w:r w:rsidRPr="008B7239">
        <w:rPr>
          <w:rFonts w:asciiTheme="majorHAnsi" w:eastAsia="Times New Roman" w:hAnsiTheme="majorHAnsi" w:cstheme="majorHAnsi"/>
          <w:color w:val="333333"/>
          <w:kern w:val="0"/>
          <w14:ligatures w14:val="none"/>
        </w:rPr>
        <w:t>Public Health Emergencies Governance Review Panel Report (2023)</w:t>
      </w:r>
    </w:p>
    <w:p w14:paraId="27EE873F" w14:textId="77777777" w:rsidR="00624C81" w:rsidRDefault="00624C81">
      <w:pPr>
        <w:pBdr>
          <w:top w:val="nil"/>
          <w:left w:val="nil"/>
          <w:bottom w:val="nil"/>
          <w:right w:val="nil"/>
          <w:between w:val="nil"/>
        </w:pBd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1290"/>
        <w:gridCol w:w="1335"/>
        <w:gridCol w:w="360"/>
        <w:gridCol w:w="1500"/>
        <w:gridCol w:w="3870"/>
      </w:tblGrid>
      <w:tr w:rsidR="00624C81" w14:paraId="14034B14" w14:textId="77777777">
        <w:trPr>
          <w:trHeight w:val="240"/>
        </w:trPr>
        <w:tc>
          <w:tcPr>
            <w:tcW w:w="4080" w:type="dxa"/>
            <w:gridSpan w:val="3"/>
            <w:vAlign w:val="center"/>
          </w:tcPr>
          <w:p w14:paraId="04C74060"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RESPONSIBLE FOR:</w:t>
            </w:r>
          </w:p>
        </w:tc>
        <w:tc>
          <w:tcPr>
            <w:tcW w:w="5730" w:type="dxa"/>
            <w:gridSpan w:val="3"/>
            <w:vAlign w:val="center"/>
          </w:tcPr>
          <w:p w14:paraId="6AFD5719" w14:textId="3B91ACD4"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116E6DDE" w14:textId="77777777">
        <w:trPr>
          <w:trHeight w:val="260"/>
        </w:trPr>
        <w:tc>
          <w:tcPr>
            <w:tcW w:w="4080" w:type="dxa"/>
            <w:gridSpan w:val="3"/>
            <w:vAlign w:val="center"/>
          </w:tcPr>
          <w:p w14:paraId="5D63EE71"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APPLIES TO:</w:t>
            </w:r>
          </w:p>
        </w:tc>
        <w:tc>
          <w:tcPr>
            <w:tcW w:w="5730" w:type="dxa"/>
            <w:gridSpan w:val="3"/>
            <w:vAlign w:val="center"/>
          </w:tcPr>
          <w:p w14:paraId="5DBF5D62" w14:textId="221EF544"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584B1894" w14:textId="77777777">
        <w:trPr>
          <w:trHeight w:val="260"/>
        </w:trPr>
        <w:tc>
          <w:tcPr>
            <w:tcW w:w="9810" w:type="dxa"/>
            <w:gridSpan w:val="6"/>
            <w:vAlign w:val="center"/>
          </w:tcPr>
          <w:p w14:paraId="54799B63" w14:textId="57615932"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27157F7F" w14:textId="77777777">
        <w:trPr>
          <w:trHeight w:val="260"/>
        </w:trPr>
        <w:tc>
          <w:tcPr>
            <w:tcW w:w="1455" w:type="dxa"/>
            <w:vAlign w:val="center"/>
          </w:tcPr>
          <w:p w14:paraId="53FACA05"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VERSION</w:t>
            </w:r>
          </w:p>
        </w:tc>
        <w:tc>
          <w:tcPr>
            <w:tcW w:w="1290" w:type="dxa"/>
            <w:vAlign w:val="center"/>
          </w:tcPr>
          <w:p w14:paraId="5724FD01"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DATE</w:t>
            </w:r>
          </w:p>
        </w:tc>
        <w:tc>
          <w:tcPr>
            <w:tcW w:w="1695" w:type="dxa"/>
            <w:gridSpan w:val="2"/>
            <w:vAlign w:val="center"/>
          </w:tcPr>
          <w:p w14:paraId="410AEB60"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WRITTEN BY</w:t>
            </w:r>
          </w:p>
        </w:tc>
        <w:tc>
          <w:tcPr>
            <w:tcW w:w="1500" w:type="dxa"/>
            <w:vAlign w:val="center"/>
          </w:tcPr>
          <w:p w14:paraId="5AF49DD0"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APPROVED BY</w:t>
            </w:r>
          </w:p>
        </w:tc>
        <w:tc>
          <w:tcPr>
            <w:tcW w:w="3870" w:type="dxa"/>
            <w:vAlign w:val="center"/>
          </w:tcPr>
          <w:p w14:paraId="75570987"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CHANGES</w:t>
            </w:r>
          </w:p>
        </w:tc>
      </w:tr>
      <w:tr w:rsidR="00624C81" w14:paraId="45294C1F" w14:textId="77777777">
        <w:trPr>
          <w:trHeight w:val="260"/>
        </w:trPr>
        <w:tc>
          <w:tcPr>
            <w:tcW w:w="1455" w:type="dxa"/>
            <w:vAlign w:val="center"/>
          </w:tcPr>
          <w:p w14:paraId="7EC903EC"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i/>
                <w:sz w:val="20"/>
                <w:szCs w:val="20"/>
              </w:rPr>
              <w:t>1.0.0</w:t>
            </w:r>
          </w:p>
        </w:tc>
        <w:tc>
          <w:tcPr>
            <w:tcW w:w="1290" w:type="dxa"/>
            <w:vAlign w:val="center"/>
          </w:tcPr>
          <w:p w14:paraId="00A87E4F" w14:textId="2B1BDBA2" w:rsidR="00624C81" w:rsidRDefault="00387FB6">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June </w:t>
            </w:r>
            <w:r w:rsidR="00281664">
              <w:rPr>
                <w:rFonts w:ascii="Arial Narrow" w:eastAsia="Arial Narrow" w:hAnsi="Arial Narrow" w:cs="Arial Narrow"/>
                <w:i/>
                <w:sz w:val="20"/>
                <w:szCs w:val="20"/>
              </w:rPr>
              <w:t>20</w:t>
            </w:r>
            <w:r>
              <w:rPr>
                <w:rFonts w:ascii="Arial Narrow" w:eastAsia="Arial Narrow" w:hAnsi="Arial Narrow" w:cs="Arial Narrow"/>
                <w:i/>
                <w:sz w:val="20"/>
                <w:szCs w:val="20"/>
              </w:rPr>
              <w:t>25</w:t>
            </w:r>
          </w:p>
        </w:tc>
        <w:tc>
          <w:tcPr>
            <w:tcW w:w="1695" w:type="dxa"/>
            <w:gridSpan w:val="2"/>
            <w:vAlign w:val="center"/>
          </w:tcPr>
          <w:p w14:paraId="5B023CB1" w14:textId="147861A6" w:rsidR="00624C81" w:rsidRDefault="00387FB6">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AISCA</w:t>
            </w:r>
          </w:p>
        </w:tc>
        <w:tc>
          <w:tcPr>
            <w:tcW w:w="1500" w:type="dxa"/>
            <w:vAlign w:val="center"/>
          </w:tcPr>
          <w:p w14:paraId="7FDF41A4" w14:textId="775C302A" w:rsidR="00624C81" w:rsidRDefault="00624C81">
            <w:pPr>
              <w:tabs>
                <w:tab w:val="center" w:pos="4320"/>
                <w:tab w:val="right" w:pos="8640"/>
              </w:tabs>
              <w:spacing w:after="0" w:line="240" w:lineRule="auto"/>
              <w:rPr>
                <w:rFonts w:ascii="Arial Narrow" w:eastAsia="Arial Narrow" w:hAnsi="Arial Narrow" w:cs="Arial Narrow"/>
                <w:sz w:val="20"/>
                <w:szCs w:val="20"/>
              </w:rPr>
            </w:pPr>
          </w:p>
        </w:tc>
        <w:tc>
          <w:tcPr>
            <w:tcW w:w="3870" w:type="dxa"/>
            <w:vAlign w:val="center"/>
          </w:tcPr>
          <w:p w14:paraId="32E63919"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7DD84074" w14:textId="77777777">
        <w:trPr>
          <w:trHeight w:val="280"/>
        </w:trPr>
        <w:tc>
          <w:tcPr>
            <w:tcW w:w="1455" w:type="dxa"/>
            <w:vAlign w:val="center"/>
          </w:tcPr>
          <w:p w14:paraId="5C5A2B82"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1290" w:type="dxa"/>
            <w:vAlign w:val="center"/>
          </w:tcPr>
          <w:p w14:paraId="0A4409CC"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1695" w:type="dxa"/>
            <w:gridSpan w:val="2"/>
            <w:vAlign w:val="center"/>
          </w:tcPr>
          <w:p w14:paraId="6F389C57"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1500" w:type="dxa"/>
            <w:vAlign w:val="center"/>
          </w:tcPr>
          <w:p w14:paraId="69D2AF83"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3870" w:type="dxa"/>
            <w:vAlign w:val="center"/>
          </w:tcPr>
          <w:p w14:paraId="52A422CF"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bl>
    <w:p w14:paraId="6C2D9980" w14:textId="77777777" w:rsidR="00624C81" w:rsidRDefault="00624C81">
      <w:pPr>
        <w:pBdr>
          <w:top w:val="nil"/>
          <w:left w:val="nil"/>
          <w:bottom w:val="nil"/>
          <w:right w:val="nil"/>
          <w:between w:val="nil"/>
        </w:pBdr>
      </w:pPr>
    </w:p>
    <w:sectPr w:rsidR="00624C81">
      <w:headerReference w:type="even" r:id="rId10"/>
      <w:headerReference w:type="default" r:id="rId11"/>
      <w:footerReference w:type="even" r:id="rId12"/>
      <w:footerReference w:type="default" r:id="rId13"/>
      <w:headerReference w:type="first" r:id="rId14"/>
      <w:footerReference w:type="first" r:id="rId15"/>
      <w:pgSz w:w="12240" w:h="15840"/>
      <w:pgMar w:top="993"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A43CD" w14:textId="77777777" w:rsidR="005B49CC" w:rsidRDefault="005B49CC">
      <w:pPr>
        <w:spacing w:after="0" w:line="240" w:lineRule="auto"/>
      </w:pPr>
      <w:r>
        <w:separator/>
      </w:r>
    </w:p>
  </w:endnote>
  <w:endnote w:type="continuationSeparator" w:id="0">
    <w:p w14:paraId="12EA1EBB" w14:textId="77777777" w:rsidR="005B49CC" w:rsidRDefault="005B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FD40261-57EB-4218-8ECA-A9F9A60F65B5}"/>
    <w:embedBold r:id="rId2" w:fontKey="{0736A2F4-3A23-4921-88FE-2E3CBF782276}"/>
    <w:embedItalic r:id="rId3" w:fontKey="{DAB0B9C7-965A-4682-BCC8-5A3D3786AEF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AB246885-5F91-4D45-BBF6-85260786A214}"/>
    <w:embedItalic r:id="rId5" w:fontKey="{7F1E680A-C1D4-4CE6-B834-DB91C1BBD916}"/>
  </w:font>
  <w:font w:name="Cambria">
    <w:panose1 w:val="02040503050406030204"/>
    <w:charset w:val="00"/>
    <w:family w:val="roman"/>
    <w:pitch w:val="variable"/>
    <w:sig w:usb0="E00006FF" w:usb1="420024FF" w:usb2="02000000" w:usb3="00000000" w:csb0="0000019F" w:csb1="00000000"/>
    <w:embedRegular r:id="rId6" w:fontKey="{7D5D5C08-F156-4AE9-8ED8-0BEE60D4875A}"/>
    <w:embedItalic r:id="rId7" w:fontKey="{F0772181-AD3E-4C93-915A-7CB266DC93E4}"/>
  </w:font>
  <w:font w:name="Arial Narrow">
    <w:panose1 w:val="020B0606020202030204"/>
    <w:charset w:val="00"/>
    <w:family w:val="swiss"/>
    <w:pitch w:val="variable"/>
    <w:sig w:usb0="00000287" w:usb1="00000800" w:usb2="00000000" w:usb3="00000000" w:csb0="0000009F" w:csb1="00000000"/>
    <w:embedRegular r:id="rId8" w:fontKey="{9F8A0068-85F3-443D-8235-614233C5C468}"/>
    <w:embedBold r:id="rId9" w:fontKey="{0C122809-20D9-48AB-A775-661404E538CB}"/>
    <w:embedItalic r:id="rId10" w:fontKey="{9112444C-E37B-4B93-B057-94818E47EF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FAB89" w14:textId="77777777" w:rsidR="00F802BA" w:rsidRDefault="00F80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6BD2" w14:textId="3AE45693" w:rsidR="00A0104D" w:rsidRPr="00A0104D" w:rsidRDefault="00A01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F845" w14:textId="6881EA73" w:rsidR="00624C81" w:rsidRDefault="00624C81">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1C9D5" w14:textId="77777777" w:rsidR="005B49CC" w:rsidRDefault="005B49CC">
      <w:pPr>
        <w:spacing w:after="0" w:line="240" w:lineRule="auto"/>
      </w:pPr>
      <w:r>
        <w:separator/>
      </w:r>
    </w:p>
  </w:footnote>
  <w:footnote w:type="continuationSeparator" w:id="0">
    <w:p w14:paraId="1010A05A" w14:textId="77777777" w:rsidR="005B49CC" w:rsidRDefault="005B4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FF6D" w14:textId="77777777" w:rsidR="00F802BA" w:rsidRDefault="00F80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5763" w14:textId="77777777" w:rsidR="00624C81" w:rsidRDefault="00624C81">
    <w:pPr>
      <w:pBdr>
        <w:top w:val="nil"/>
        <w:left w:val="nil"/>
        <w:bottom w:val="nil"/>
        <w:right w:val="nil"/>
        <w:between w:val="nil"/>
      </w:pBdr>
      <w:spacing w:line="240" w:lineRule="auto"/>
      <w:jc w:val="right"/>
      <w:rPr>
        <w:sz w:val="16"/>
        <w:szCs w:val="16"/>
      </w:rPr>
    </w:pPr>
  </w:p>
  <w:p w14:paraId="142D3C45" w14:textId="79B94921" w:rsidR="00624C81" w:rsidRDefault="00624C81">
    <w:pPr>
      <w:pBdr>
        <w:top w:val="nil"/>
        <w:left w:val="nil"/>
        <w:bottom w:val="nil"/>
        <w:right w:val="nil"/>
        <w:between w:val="nil"/>
      </w:pBdr>
      <w:spacing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41FD3" w14:textId="1AC76941" w:rsidR="00624C81" w:rsidRDefault="00624C81">
    <w:pPr>
      <w:pBdr>
        <w:top w:val="nil"/>
        <w:left w:val="nil"/>
        <w:bottom w:val="nil"/>
        <w:right w:val="nil"/>
        <w:between w:val="nil"/>
      </w:pBdr>
      <w:spacing w:after="0" w:line="240" w:lineRule="auto"/>
      <w:jc w:val="center"/>
    </w:pPr>
  </w:p>
  <w:p w14:paraId="6D75DA49" w14:textId="4DAC6A17" w:rsidR="00624C81" w:rsidRDefault="00387FB6">
    <w:pPr>
      <w:pBdr>
        <w:top w:val="nil"/>
        <w:left w:val="nil"/>
        <w:bottom w:val="nil"/>
        <w:right w:val="nil"/>
        <w:between w:val="nil"/>
      </w:pBdr>
      <w:spacing w:after="0" w:line="240" w:lineRule="auto"/>
      <w:rPr>
        <w:b/>
        <w:sz w:val="48"/>
        <w:szCs w:val="48"/>
      </w:rPr>
    </w:pPr>
    <w:r>
      <w:rPr>
        <w:b/>
        <w:sz w:val="48"/>
        <w:szCs w:val="48"/>
      </w:rPr>
      <w:t>C</w:t>
    </w:r>
    <w:r w:rsidR="00281664">
      <w:rPr>
        <w:b/>
        <w:sz w:val="48"/>
        <w:szCs w:val="48"/>
      </w:rPr>
      <w:t>o</w:t>
    </w:r>
    <w:r>
      <w:rPr>
        <w:b/>
        <w:sz w:val="48"/>
        <w:szCs w:val="48"/>
      </w:rPr>
      <w:t>ntinuity of Education Programming in Emergency Situations</w:t>
    </w:r>
  </w:p>
  <w:p w14:paraId="5D440D4A" w14:textId="5083E304" w:rsidR="00624C81" w:rsidRDefault="00721990">
    <w:pPr>
      <w:pBdr>
        <w:top w:val="nil"/>
        <w:left w:val="nil"/>
        <w:bottom w:val="nil"/>
        <w:right w:val="nil"/>
        <w:between w:val="nil"/>
      </w:pBdr>
      <w:spacing w:line="240" w:lineRule="auto"/>
    </w:pPr>
    <w:r>
      <w:rPr>
        <w:b/>
      </w:rPr>
      <w:t>Board</w:t>
    </w:r>
    <w:r w:rsidR="00281664">
      <w:rPr>
        <w:b/>
      </w:rPr>
      <w:t xml:space="preserve">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6C14A3"/>
    <w:multiLevelType w:val="hybridMultilevel"/>
    <w:tmpl w:val="9DB0EE46"/>
    <w:lvl w:ilvl="0" w:tplc="3314EF30">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C01B31"/>
    <w:multiLevelType w:val="multilevel"/>
    <w:tmpl w:val="EECCAD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260138915">
    <w:abstractNumId w:val="0"/>
  </w:num>
  <w:num w:numId="2" w16cid:durableId="867597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1"/>
    <w:rsid w:val="000C748E"/>
    <w:rsid w:val="001A63EB"/>
    <w:rsid w:val="001D08A2"/>
    <w:rsid w:val="0021378B"/>
    <w:rsid w:val="00233955"/>
    <w:rsid w:val="002572F5"/>
    <w:rsid w:val="00281664"/>
    <w:rsid w:val="002D5225"/>
    <w:rsid w:val="002E36EF"/>
    <w:rsid w:val="00387FB6"/>
    <w:rsid w:val="004B1611"/>
    <w:rsid w:val="0050063F"/>
    <w:rsid w:val="00517B7B"/>
    <w:rsid w:val="00537360"/>
    <w:rsid w:val="005B49CC"/>
    <w:rsid w:val="005F1D10"/>
    <w:rsid w:val="00624C81"/>
    <w:rsid w:val="00643F13"/>
    <w:rsid w:val="00721990"/>
    <w:rsid w:val="007416D5"/>
    <w:rsid w:val="00755213"/>
    <w:rsid w:val="00811465"/>
    <w:rsid w:val="00847C7A"/>
    <w:rsid w:val="008A5025"/>
    <w:rsid w:val="008B7239"/>
    <w:rsid w:val="00A0104D"/>
    <w:rsid w:val="00A31E05"/>
    <w:rsid w:val="00B60310"/>
    <w:rsid w:val="00BA10E4"/>
    <w:rsid w:val="00CC5348"/>
    <w:rsid w:val="00D71A48"/>
    <w:rsid w:val="00E04C60"/>
    <w:rsid w:val="00E1180C"/>
    <w:rsid w:val="00E80471"/>
    <w:rsid w:val="00E92F3D"/>
    <w:rsid w:val="00EC2FEB"/>
    <w:rsid w:val="00F507FA"/>
    <w:rsid w:val="00F802BA"/>
    <w:rsid w:val="00FE7A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705AA"/>
  <w15:docId w15:val="{38750193-C02F-44B4-AF5B-46D187FE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E11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80C"/>
  </w:style>
  <w:style w:type="paragraph" w:styleId="Footer">
    <w:name w:val="footer"/>
    <w:basedOn w:val="Normal"/>
    <w:link w:val="FooterChar"/>
    <w:uiPriority w:val="99"/>
    <w:unhideWhenUsed/>
    <w:rsid w:val="00E11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80C"/>
  </w:style>
  <w:style w:type="paragraph" w:styleId="ListParagraph">
    <w:name w:val="List Paragraph"/>
    <w:basedOn w:val="Normal"/>
    <w:uiPriority w:val="34"/>
    <w:qFormat/>
    <w:rsid w:val="00387FB6"/>
    <w:pPr>
      <w:spacing w:after="0" w:line="240" w:lineRule="auto"/>
      <w:ind w:left="720"/>
      <w:contextualSpacing/>
    </w:pPr>
    <w:rPr>
      <w:rFonts w:asciiTheme="minorHAnsi" w:eastAsiaTheme="minorHAnsi" w:hAnsiTheme="minorHAnsi" w:cstheme="minorBidi"/>
      <w:kern w:val="2"/>
      <w:sz w:val="24"/>
      <w:szCs w:val="24"/>
      <w:lang w:val="en-CA" w:eastAsia="en-US"/>
      <w14:ligatures w14:val="standardContextual"/>
    </w:rPr>
  </w:style>
  <w:style w:type="paragraph" w:customStyle="1" w:styleId="citation0">
    <w:name w:val="citation0"/>
    <w:basedOn w:val="Normal"/>
    <w:rsid w:val="00387FB6"/>
    <w:pPr>
      <w:spacing w:before="100" w:beforeAutospacing="1" w:after="100" w:afterAutospacing="1" w:line="240" w:lineRule="auto"/>
    </w:pPr>
    <w:rPr>
      <w:rFonts w:ascii="Times New Roman" w:eastAsia="Times New Roman" w:hAnsi="Times New Roman" w:cs="Times New Roman"/>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AF96782B7E7646A67B1D34F8DF8930" ma:contentTypeVersion="12" ma:contentTypeDescription="Create a new document." ma:contentTypeScope="" ma:versionID="d9c366688224b2499fc90de1b39ec068">
  <xsd:schema xmlns:xsd="http://www.w3.org/2001/XMLSchema" xmlns:xs="http://www.w3.org/2001/XMLSchema" xmlns:p="http://schemas.microsoft.com/office/2006/metadata/properties" xmlns:ns2="5d72b52e-1ed0-4c39-b576-7b4d7226b579" xmlns:ns3="5e246ad5-86a9-4021-8e8c-410b99961d72" targetNamespace="http://schemas.microsoft.com/office/2006/metadata/properties" ma:root="true" ma:fieldsID="ca445f9313f352b5913f052c98a86efe" ns2:_="" ns3:_="">
    <xsd:import namespace="5d72b52e-1ed0-4c39-b576-7b4d7226b579"/>
    <xsd:import namespace="5e246ad5-86a9-4021-8e8c-410b99961d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2b52e-1ed0-4c39-b576-7b4d7226b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df8f06-9227-4a93-b6c9-8235bcf241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46ad5-86a9-4021-8e8c-410b99961d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cdd3dc-71e7-4bc9-920a-acf6d0da0bf6}" ma:internalName="TaxCatchAll" ma:showField="CatchAllData" ma:web="5e246ad5-86a9-4021-8e8c-410b99961d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72b52e-1ed0-4c39-b576-7b4d7226b579">
      <Terms xmlns="http://schemas.microsoft.com/office/infopath/2007/PartnerControls"/>
    </lcf76f155ced4ddcb4097134ff3c332f>
    <TaxCatchAll xmlns="5e246ad5-86a9-4021-8e8c-410b99961d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1FCBED-CF69-4BCC-848F-74289B94C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72b52e-1ed0-4c39-b576-7b4d7226b579"/>
    <ds:schemaRef ds:uri="5e246ad5-86a9-4021-8e8c-410b99961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40674-A33C-46E9-A724-D45AD0DB213E}">
  <ds:schemaRefs>
    <ds:schemaRef ds:uri="http://schemas.microsoft.com/office/2006/metadata/properties"/>
    <ds:schemaRef ds:uri="http://schemas.microsoft.com/office/infopath/2007/PartnerControls"/>
    <ds:schemaRef ds:uri="5d72b52e-1ed0-4c39-b576-7b4d7226b579"/>
    <ds:schemaRef ds:uri="5e246ad5-86a9-4021-8e8c-410b99961d72"/>
  </ds:schemaRefs>
</ds:datastoreItem>
</file>

<file path=customXml/itemProps3.xml><?xml version="1.0" encoding="utf-8"?>
<ds:datastoreItem xmlns:ds="http://schemas.openxmlformats.org/officeDocument/2006/customXml" ds:itemID="{A75D6B65-2588-4D01-9BCD-792068B2B8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2900</Words>
  <Characters>15482</Characters>
  <Application>Microsoft Office Word</Application>
  <DocSecurity>0</DocSecurity>
  <Lines>284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Eifert</dc:creator>
  <cp:lastModifiedBy>Mike Daniels</cp:lastModifiedBy>
  <cp:revision>3</cp:revision>
  <dcterms:created xsi:type="dcterms:W3CDTF">2026-01-28T02:43:00Z</dcterms:created>
  <dcterms:modified xsi:type="dcterms:W3CDTF">2026-01-29T20:21:00Z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5263ffb9-925b-4612-8ad4-624683519420</vt:lpwstr>
  </property>
  <property fmtid="{D5CDD505-2E9C-101B-9397-08002B2CF9AE}" pid="3" name="ContentTypeId">
    <vt:lpwstr>0x010100AFAF96782B7E7646A67B1D34F8DF8930</vt:lpwstr>
  </property>
  <property fmtid="{D5CDD505-2E9C-101B-9397-08002B2CF9AE}" pid="4" name="MediaServiceImageTags">
    <vt:lpwstr/>
  </property>
</Properties>
</file>